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E94F" w14:textId="77777777" w:rsidR="00654018" w:rsidRPr="0041025C" w:rsidRDefault="00654018" w:rsidP="00654018">
      <w:pPr>
        <w:spacing w:after="0"/>
        <w:jc w:val="center"/>
        <w:rPr>
          <w:rFonts w:cstheme="minorHAnsi"/>
          <w:b/>
          <w:sz w:val="20"/>
          <w:szCs w:val="20"/>
        </w:rPr>
      </w:pPr>
    </w:p>
    <w:p w14:paraId="79E44101" w14:textId="77777777" w:rsidR="00336268" w:rsidRDefault="00F90739" w:rsidP="00336268">
      <w:pPr>
        <w:spacing w:after="0"/>
        <w:jc w:val="center"/>
        <w:rPr>
          <w:rFonts w:cstheme="minorHAnsi"/>
          <w:b/>
          <w:color w:val="000004"/>
          <w:sz w:val="14"/>
          <w:szCs w:val="24"/>
        </w:rPr>
      </w:pPr>
      <w:r>
        <w:rPr>
          <w:rFonts w:cstheme="minorHAnsi"/>
          <w:b/>
          <w:color w:val="000004"/>
          <w:sz w:val="24"/>
          <w:szCs w:val="24"/>
        </w:rPr>
        <w:br/>
      </w:r>
    </w:p>
    <w:p w14:paraId="449EC43D" w14:textId="77777777" w:rsidR="001C4CE8" w:rsidRPr="00290689" w:rsidRDefault="001C4CE8" w:rsidP="00336268">
      <w:pPr>
        <w:spacing w:after="0"/>
        <w:rPr>
          <w:rFonts w:ascii="Calibri" w:hAnsi="Calibri" w:cs="Calibri"/>
          <w:b/>
          <w:color w:val="000004"/>
          <w:sz w:val="24"/>
          <w:szCs w:val="24"/>
        </w:rPr>
      </w:pPr>
      <w:r w:rsidRPr="00290689">
        <w:rPr>
          <w:rFonts w:ascii="Calibri" w:hAnsi="Calibri" w:cs="Calibri"/>
          <w:b/>
          <w:color w:val="000004"/>
          <w:sz w:val="24"/>
          <w:szCs w:val="24"/>
        </w:rPr>
        <w:tab/>
      </w:r>
      <w:r w:rsidRPr="00290689">
        <w:rPr>
          <w:rFonts w:ascii="Calibri" w:hAnsi="Calibri" w:cs="Calibri"/>
          <w:b/>
          <w:color w:val="000004"/>
          <w:sz w:val="24"/>
          <w:szCs w:val="24"/>
        </w:rPr>
        <w:tab/>
      </w:r>
    </w:p>
    <w:tbl>
      <w:tblPr>
        <w:tblStyle w:val="TableGrid"/>
        <w:tblW w:w="0" w:type="auto"/>
        <w:tblLook w:val="04A0" w:firstRow="1" w:lastRow="0" w:firstColumn="1" w:lastColumn="0" w:noHBand="0" w:noVBand="1"/>
      </w:tblPr>
      <w:tblGrid>
        <w:gridCol w:w="1799"/>
        <w:gridCol w:w="7551"/>
      </w:tblGrid>
      <w:tr w:rsidR="001C4CE8" w:rsidRPr="00290689" w14:paraId="14E8E167" w14:textId="77777777" w:rsidTr="00290689">
        <w:trPr>
          <w:trHeight w:hRule="exact" w:val="720"/>
        </w:trPr>
        <w:tc>
          <w:tcPr>
            <w:tcW w:w="1818" w:type="dxa"/>
          </w:tcPr>
          <w:p w14:paraId="19DB4230" w14:textId="77777777"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College</w:t>
            </w:r>
          </w:p>
          <w:p w14:paraId="0B86DFBE" w14:textId="77777777" w:rsidR="00F87086" w:rsidRPr="00290689" w:rsidRDefault="00F87086" w:rsidP="00336268">
            <w:pPr>
              <w:rPr>
                <w:rFonts w:ascii="Calibri" w:hAnsi="Calibri" w:cs="Calibri"/>
                <w:b/>
                <w:color w:val="000004"/>
                <w:sz w:val="24"/>
                <w:szCs w:val="24"/>
              </w:rPr>
            </w:pPr>
          </w:p>
        </w:tc>
        <w:tc>
          <w:tcPr>
            <w:tcW w:w="7758" w:type="dxa"/>
          </w:tcPr>
          <w:p w14:paraId="50422742" w14:textId="77777777" w:rsidR="001C4CE8" w:rsidRPr="00290689" w:rsidRDefault="007457A0" w:rsidP="00D6781E">
            <w:pPr>
              <w:rPr>
                <w:rFonts w:ascii="Calibri" w:hAnsi="Calibri" w:cs="Calibri"/>
                <w:b/>
                <w:color w:val="000004"/>
                <w:sz w:val="24"/>
                <w:szCs w:val="24"/>
              </w:rPr>
            </w:pPr>
            <w:r>
              <w:rPr>
                <w:rFonts w:ascii="Calibri" w:hAnsi="Calibri" w:cs="Calibri"/>
                <w:b/>
                <w:color w:val="000004"/>
                <w:sz w:val="24"/>
                <w:szCs w:val="24"/>
              </w:rPr>
              <w:t>Biodesign Institute</w:t>
            </w:r>
          </w:p>
        </w:tc>
      </w:tr>
      <w:tr w:rsidR="001C4CE8" w:rsidRPr="00290689" w14:paraId="72932ECB" w14:textId="77777777" w:rsidTr="00290689">
        <w:trPr>
          <w:trHeight w:hRule="exact" w:val="720"/>
        </w:trPr>
        <w:tc>
          <w:tcPr>
            <w:tcW w:w="1818" w:type="dxa"/>
          </w:tcPr>
          <w:p w14:paraId="451BD867" w14:textId="77777777"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Unit</w:t>
            </w:r>
          </w:p>
          <w:p w14:paraId="5849B2CB" w14:textId="77777777" w:rsidR="00F87086" w:rsidRPr="00290689" w:rsidRDefault="00F87086" w:rsidP="00336268">
            <w:pPr>
              <w:rPr>
                <w:rFonts w:ascii="Calibri" w:hAnsi="Calibri" w:cs="Calibri"/>
                <w:b/>
                <w:color w:val="000004"/>
                <w:sz w:val="24"/>
                <w:szCs w:val="24"/>
              </w:rPr>
            </w:pPr>
          </w:p>
        </w:tc>
        <w:tc>
          <w:tcPr>
            <w:tcW w:w="7758" w:type="dxa"/>
          </w:tcPr>
          <w:p w14:paraId="1E5D0B9C" w14:textId="77777777" w:rsidR="001C4CE8" w:rsidRPr="00290689" w:rsidRDefault="001C4CE8" w:rsidP="00E92BD5">
            <w:pPr>
              <w:rPr>
                <w:rFonts w:ascii="Calibri" w:hAnsi="Calibri" w:cs="Calibri"/>
                <w:b/>
                <w:color w:val="000004"/>
                <w:sz w:val="24"/>
                <w:szCs w:val="24"/>
              </w:rPr>
            </w:pPr>
          </w:p>
        </w:tc>
      </w:tr>
      <w:tr w:rsidR="001C4CE8" w:rsidRPr="00290689" w14:paraId="5AF813C5" w14:textId="77777777" w:rsidTr="00290689">
        <w:trPr>
          <w:trHeight w:hRule="exact" w:val="720"/>
        </w:trPr>
        <w:tc>
          <w:tcPr>
            <w:tcW w:w="1818" w:type="dxa"/>
          </w:tcPr>
          <w:p w14:paraId="13771AC2" w14:textId="77777777" w:rsidR="001C4CE8" w:rsidRPr="00290689" w:rsidRDefault="001C4CE8" w:rsidP="00336268">
            <w:pPr>
              <w:rPr>
                <w:rFonts w:ascii="Calibri" w:hAnsi="Calibri" w:cs="Calibri"/>
                <w:b/>
                <w:color w:val="000004"/>
                <w:sz w:val="24"/>
                <w:szCs w:val="24"/>
              </w:rPr>
            </w:pPr>
            <w:r w:rsidRPr="00290689">
              <w:rPr>
                <w:rFonts w:ascii="Calibri" w:hAnsi="Calibri" w:cs="Calibri"/>
                <w:b/>
                <w:color w:val="000004"/>
                <w:sz w:val="24"/>
                <w:szCs w:val="24"/>
              </w:rPr>
              <w:t>Document</w:t>
            </w:r>
          </w:p>
          <w:p w14:paraId="5B4A4570" w14:textId="77777777" w:rsidR="00F87086" w:rsidRPr="00290689" w:rsidRDefault="00F87086" w:rsidP="00336268">
            <w:pPr>
              <w:rPr>
                <w:rFonts w:ascii="Calibri" w:hAnsi="Calibri" w:cs="Calibri"/>
                <w:b/>
                <w:color w:val="000004"/>
                <w:sz w:val="24"/>
                <w:szCs w:val="24"/>
              </w:rPr>
            </w:pPr>
          </w:p>
        </w:tc>
        <w:tc>
          <w:tcPr>
            <w:tcW w:w="7758" w:type="dxa"/>
          </w:tcPr>
          <w:p w14:paraId="4B56C609" w14:textId="77777777" w:rsidR="00DB348E" w:rsidRPr="00290689" w:rsidRDefault="007457A0" w:rsidP="00F87ACE">
            <w:pPr>
              <w:rPr>
                <w:rFonts w:ascii="Calibri" w:hAnsi="Calibri" w:cs="Calibri"/>
                <w:b/>
                <w:color w:val="000004"/>
                <w:sz w:val="24"/>
                <w:szCs w:val="24"/>
              </w:rPr>
            </w:pPr>
            <w:r>
              <w:rPr>
                <w:rFonts w:ascii="Calibri" w:hAnsi="Calibri" w:cs="Calibri"/>
                <w:b/>
                <w:color w:val="000004"/>
                <w:sz w:val="24"/>
                <w:szCs w:val="24"/>
              </w:rPr>
              <w:t>Academic Professional Promotion Criteria</w:t>
            </w:r>
          </w:p>
        </w:tc>
      </w:tr>
    </w:tbl>
    <w:p w14:paraId="7A1B57DC" w14:textId="77777777" w:rsidR="00336268" w:rsidRPr="00290689" w:rsidRDefault="00336268" w:rsidP="00E43A25">
      <w:pPr>
        <w:spacing w:after="0" w:line="240" w:lineRule="auto"/>
        <w:rPr>
          <w:rFonts w:ascii="Calibri" w:hAnsi="Calibri" w:cstheme="minorHAnsi"/>
          <w:color w:val="000004"/>
          <w:sz w:val="24"/>
          <w:szCs w:val="24"/>
        </w:rPr>
      </w:pPr>
    </w:p>
    <w:p w14:paraId="06069753" w14:textId="77777777" w:rsidR="0079786A" w:rsidRDefault="00290689" w:rsidP="005871A8">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458"/>
        <w:gridCol w:w="5892"/>
      </w:tblGrid>
      <w:tr w:rsidR="00290689" w:rsidRPr="00290689" w14:paraId="0197107A" w14:textId="77777777" w:rsidTr="003B5463">
        <w:trPr>
          <w:trHeight w:hRule="exact" w:val="720"/>
        </w:trPr>
        <w:tc>
          <w:tcPr>
            <w:tcW w:w="3528" w:type="dxa"/>
          </w:tcPr>
          <w:p w14:paraId="45E7FD21" w14:textId="77777777" w:rsidR="00290689" w:rsidRPr="00290689" w:rsidRDefault="00290689" w:rsidP="00E43671">
            <w:pPr>
              <w:rPr>
                <w:rFonts w:ascii="Calibri" w:hAnsi="Calibri" w:cs="Calibri"/>
                <w:b/>
                <w:color w:val="000004"/>
                <w:sz w:val="24"/>
                <w:szCs w:val="24"/>
              </w:rPr>
            </w:pPr>
            <w:r>
              <w:rPr>
                <w:rFonts w:ascii="Calibri" w:hAnsi="Calibri" w:cs="Calibri"/>
                <w:b/>
                <w:color w:val="000004"/>
                <w:sz w:val="24"/>
                <w:szCs w:val="24"/>
              </w:rPr>
              <w:t xml:space="preserve">Date </w:t>
            </w:r>
            <w:r w:rsidR="00E43671">
              <w:rPr>
                <w:rFonts w:ascii="Calibri" w:hAnsi="Calibri" w:cs="Calibri"/>
                <w:b/>
                <w:color w:val="000004"/>
                <w:sz w:val="24"/>
                <w:szCs w:val="24"/>
              </w:rPr>
              <w:t xml:space="preserve">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6FE6BABE" w14:textId="77777777" w:rsidR="00290689" w:rsidRPr="00290689" w:rsidRDefault="007457A0" w:rsidP="00A85FFE">
            <w:pPr>
              <w:rPr>
                <w:rFonts w:ascii="Calibri" w:hAnsi="Calibri" w:cs="Calibri"/>
                <w:b/>
                <w:color w:val="000004"/>
                <w:sz w:val="24"/>
                <w:szCs w:val="24"/>
              </w:rPr>
            </w:pPr>
            <w:r>
              <w:rPr>
                <w:rFonts w:ascii="Calibri" w:hAnsi="Calibri" w:cs="Calibri"/>
                <w:b/>
                <w:color w:val="000004"/>
                <w:sz w:val="24"/>
                <w:szCs w:val="24"/>
              </w:rPr>
              <w:t>March 21, 2018</w:t>
            </w:r>
          </w:p>
        </w:tc>
      </w:tr>
      <w:tr w:rsidR="00290689" w:rsidRPr="00290689" w14:paraId="2CD82752" w14:textId="77777777" w:rsidTr="003B5463">
        <w:trPr>
          <w:trHeight w:hRule="exact" w:val="720"/>
        </w:trPr>
        <w:tc>
          <w:tcPr>
            <w:tcW w:w="3528" w:type="dxa"/>
          </w:tcPr>
          <w:p w14:paraId="1B5FB8C4" w14:textId="77777777" w:rsidR="00290689" w:rsidRPr="00290689" w:rsidRDefault="00290689" w:rsidP="00E43671">
            <w:pPr>
              <w:rPr>
                <w:rFonts w:ascii="Calibri" w:hAnsi="Calibri" w:cs="Calibri"/>
                <w:b/>
                <w:color w:val="000004"/>
                <w:sz w:val="24"/>
                <w:szCs w:val="24"/>
              </w:rPr>
            </w:pPr>
            <w:r>
              <w:rPr>
                <w:rFonts w:ascii="Calibri" w:hAnsi="Calibri" w:cs="Calibri"/>
                <w:b/>
                <w:color w:val="000004"/>
                <w:sz w:val="24"/>
                <w:szCs w:val="24"/>
              </w:rPr>
              <w:t xml:space="preserve">Date </w:t>
            </w:r>
            <w:r w:rsidR="00E43671">
              <w:rPr>
                <w:rFonts w:ascii="Calibri" w:hAnsi="Calibri" w:cs="Calibri"/>
                <w:b/>
                <w:color w:val="000004"/>
                <w:sz w:val="24"/>
                <w:szCs w:val="24"/>
              </w:rPr>
              <w:t xml:space="preserve">of review </w:t>
            </w:r>
            <w:r w:rsidRPr="00290689">
              <w:rPr>
                <w:rFonts w:ascii="Calibri" w:hAnsi="Calibri" w:cs="Calibri"/>
                <w:b/>
                <w:color w:val="000004"/>
                <w:sz w:val="24"/>
                <w:szCs w:val="24"/>
              </w:rPr>
              <w:t>by the dean</w:t>
            </w:r>
          </w:p>
        </w:tc>
        <w:tc>
          <w:tcPr>
            <w:tcW w:w="6030" w:type="dxa"/>
            <w:tcBorders>
              <w:left w:val="nil"/>
            </w:tcBorders>
          </w:tcPr>
          <w:p w14:paraId="3E5A3D23" w14:textId="77777777" w:rsidR="00290689" w:rsidRDefault="007457A0" w:rsidP="00A85FFE">
            <w:pPr>
              <w:rPr>
                <w:rFonts w:ascii="Calibri" w:hAnsi="Calibri" w:cs="Calibri"/>
                <w:b/>
                <w:color w:val="000004"/>
                <w:sz w:val="24"/>
                <w:szCs w:val="24"/>
              </w:rPr>
            </w:pPr>
            <w:r>
              <w:rPr>
                <w:rFonts w:ascii="Calibri" w:hAnsi="Calibri" w:cs="Calibri"/>
                <w:b/>
                <w:color w:val="000004"/>
                <w:sz w:val="24"/>
                <w:szCs w:val="24"/>
              </w:rPr>
              <w:t>Joshua LaBaer, M.D., Ph.D.</w:t>
            </w:r>
          </w:p>
          <w:p w14:paraId="424003A2" w14:textId="57BA2BE1" w:rsidR="00BC474B" w:rsidRPr="00290689" w:rsidRDefault="00BC474B" w:rsidP="00A85FFE">
            <w:pPr>
              <w:rPr>
                <w:rFonts w:ascii="Calibri" w:hAnsi="Calibri" w:cs="Calibri"/>
                <w:b/>
                <w:color w:val="000004"/>
                <w:sz w:val="24"/>
                <w:szCs w:val="24"/>
              </w:rPr>
            </w:pPr>
            <w:r>
              <w:rPr>
                <w:rFonts w:ascii="Calibri" w:hAnsi="Calibri" w:cs="Calibri"/>
                <w:b/>
                <w:color w:val="000004"/>
                <w:sz w:val="24"/>
                <w:szCs w:val="24"/>
              </w:rPr>
              <w:t>November 27, 2018</w:t>
            </w:r>
          </w:p>
        </w:tc>
      </w:tr>
    </w:tbl>
    <w:p w14:paraId="7B693F44" w14:textId="77777777" w:rsidR="00290689" w:rsidRPr="00290689" w:rsidRDefault="00290689" w:rsidP="00E43A25">
      <w:pPr>
        <w:spacing w:after="0" w:line="240" w:lineRule="auto"/>
        <w:rPr>
          <w:rFonts w:ascii="Calibri" w:hAnsi="Calibri" w:cstheme="minorHAnsi"/>
          <w:color w:val="000004"/>
          <w:sz w:val="24"/>
          <w:szCs w:val="24"/>
        </w:rPr>
      </w:pPr>
    </w:p>
    <w:p w14:paraId="0FAD02AD" w14:textId="77777777" w:rsidR="00870283" w:rsidRPr="00290689" w:rsidRDefault="00870283" w:rsidP="00870283">
      <w:pPr>
        <w:spacing w:after="0" w:line="240" w:lineRule="auto"/>
        <w:rPr>
          <w:rFonts w:ascii="Calibri" w:hAnsi="Calibri" w:cs="Calibri"/>
          <w:b/>
          <w:color w:val="000004"/>
          <w:sz w:val="24"/>
          <w:szCs w:val="24"/>
        </w:rPr>
      </w:pPr>
    </w:p>
    <w:p w14:paraId="7B4C5AC5" w14:textId="77777777" w:rsidR="00870283" w:rsidRDefault="007141CA" w:rsidP="005871A8">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7827"/>
        <w:gridCol w:w="1523"/>
      </w:tblGrid>
      <w:tr w:rsidR="00870283" w:rsidRPr="00290689" w14:paraId="4F6EB870" w14:textId="77777777" w:rsidTr="00290689">
        <w:trPr>
          <w:trHeight w:val="720"/>
        </w:trPr>
        <w:tc>
          <w:tcPr>
            <w:tcW w:w="8028" w:type="dxa"/>
          </w:tcPr>
          <w:p w14:paraId="3B43330D" w14:textId="77777777" w:rsidR="00870283" w:rsidRPr="00290689" w:rsidRDefault="00870283" w:rsidP="000C694A">
            <w:pPr>
              <w:rPr>
                <w:rFonts w:ascii="Calibri" w:hAnsi="Calibri" w:cs="Calibri"/>
                <w:b/>
                <w:color w:val="000004"/>
                <w:sz w:val="24"/>
                <w:szCs w:val="24"/>
              </w:rPr>
            </w:pPr>
          </w:p>
        </w:tc>
        <w:tc>
          <w:tcPr>
            <w:tcW w:w="1548" w:type="dxa"/>
          </w:tcPr>
          <w:p w14:paraId="1C0A3A63" w14:textId="77777777" w:rsidR="00870283" w:rsidRPr="00290689" w:rsidRDefault="00870283" w:rsidP="000C694A">
            <w:pPr>
              <w:rPr>
                <w:rFonts w:ascii="Calibri" w:hAnsi="Calibri" w:cs="Calibri"/>
                <w:b/>
                <w:color w:val="000004"/>
                <w:sz w:val="24"/>
                <w:szCs w:val="24"/>
              </w:rPr>
            </w:pPr>
          </w:p>
        </w:tc>
      </w:tr>
      <w:tr w:rsidR="00870283" w:rsidRPr="00290689" w14:paraId="3346CB47" w14:textId="77777777" w:rsidTr="00290689">
        <w:trPr>
          <w:trHeight w:val="720"/>
        </w:trPr>
        <w:tc>
          <w:tcPr>
            <w:tcW w:w="8028" w:type="dxa"/>
          </w:tcPr>
          <w:p w14:paraId="65A67DAC" w14:textId="77777777" w:rsidR="00870283" w:rsidRPr="00290689" w:rsidRDefault="00870283" w:rsidP="000C694A">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3F301949" w14:textId="77777777" w:rsidR="00870283" w:rsidRPr="00290689" w:rsidRDefault="00870283" w:rsidP="000C694A">
            <w:pPr>
              <w:rPr>
                <w:rFonts w:ascii="Calibri" w:hAnsi="Calibri" w:cs="Calibri"/>
                <w:b/>
                <w:color w:val="000004"/>
                <w:sz w:val="24"/>
                <w:szCs w:val="24"/>
              </w:rPr>
            </w:pPr>
            <w:r w:rsidRPr="00290689">
              <w:rPr>
                <w:rFonts w:ascii="Calibri" w:hAnsi="Calibri" w:cs="Calibri"/>
                <w:b/>
                <w:color w:val="000004"/>
                <w:sz w:val="24"/>
                <w:szCs w:val="24"/>
              </w:rPr>
              <w:t>Date</w:t>
            </w:r>
          </w:p>
        </w:tc>
      </w:tr>
    </w:tbl>
    <w:p w14:paraId="3DF140C1" w14:textId="77777777" w:rsidR="00870283" w:rsidRPr="00336268" w:rsidRDefault="00870283" w:rsidP="00870283">
      <w:pPr>
        <w:spacing w:after="0" w:line="240" w:lineRule="auto"/>
        <w:rPr>
          <w:rFonts w:cstheme="minorHAnsi"/>
          <w:b/>
          <w:color w:val="000004"/>
        </w:rPr>
      </w:pPr>
    </w:p>
    <w:p w14:paraId="6B4DFD68" w14:textId="77777777" w:rsidR="007457A0" w:rsidRDefault="007457A0" w:rsidP="005A3D23">
      <w:pPr>
        <w:spacing w:after="0" w:line="240" w:lineRule="auto"/>
        <w:rPr>
          <w:rFonts w:cstheme="minorHAnsi"/>
          <w:b/>
          <w:color w:val="000004"/>
        </w:rPr>
      </w:pPr>
    </w:p>
    <w:p w14:paraId="29FF820F" w14:textId="77777777" w:rsidR="007457A0" w:rsidRDefault="007457A0">
      <w:pPr>
        <w:rPr>
          <w:rFonts w:cstheme="minorHAnsi"/>
          <w:b/>
          <w:color w:val="000004"/>
        </w:rPr>
      </w:pPr>
      <w:r>
        <w:rPr>
          <w:rFonts w:cstheme="minorHAnsi"/>
          <w:b/>
          <w:color w:val="000004"/>
        </w:rPr>
        <w:br w:type="page"/>
      </w:r>
    </w:p>
    <w:p w14:paraId="4A2D35EB" w14:textId="77777777" w:rsidR="007457A0" w:rsidRDefault="007457A0" w:rsidP="007457A0">
      <w:pPr>
        <w:pStyle w:val="Default"/>
        <w:jc w:val="center"/>
        <w:rPr>
          <w:sz w:val="22"/>
          <w:szCs w:val="22"/>
        </w:rPr>
      </w:pPr>
      <w:r>
        <w:rPr>
          <w:b/>
          <w:bCs/>
          <w:sz w:val="22"/>
          <w:szCs w:val="22"/>
        </w:rPr>
        <w:lastRenderedPageBreak/>
        <w:t>Biodesign Institute</w:t>
      </w:r>
    </w:p>
    <w:p w14:paraId="437A4240" w14:textId="77777777" w:rsidR="007457A0" w:rsidRDefault="007457A0" w:rsidP="007457A0">
      <w:pPr>
        <w:pStyle w:val="Default"/>
        <w:jc w:val="center"/>
        <w:rPr>
          <w:b/>
          <w:bCs/>
          <w:sz w:val="22"/>
          <w:szCs w:val="22"/>
        </w:rPr>
      </w:pPr>
      <w:r>
        <w:rPr>
          <w:b/>
          <w:bCs/>
          <w:sz w:val="22"/>
          <w:szCs w:val="22"/>
        </w:rPr>
        <w:t xml:space="preserve">PROMOTIONAL EVALUATION CONSIDERATIONS AND CRITERIA </w:t>
      </w:r>
    </w:p>
    <w:p w14:paraId="444C6ED6" w14:textId="77777777" w:rsidR="007457A0" w:rsidRDefault="007457A0" w:rsidP="007457A0">
      <w:pPr>
        <w:pStyle w:val="Default"/>
        <w:jc w:val="center"/>
        <w:rPr>
          <w:b/>
          <w:bCs/>
          <w:sz w:val="22"/>
          <w:szCs w:val="22"/>
        </w:rPr>
      </w:pPr>
      <w:r>
        <w:rPr>
          <w:b/>
          <w:bCs/>
          <w:sz w:val="22"/>
          <w:szCs w:val="22"/>
        </w:rPr>
        <w:t>ACADEMIC PROFESSIONALS</w:t>
      </w:r>
    </w:p>
    <w:p w14:paraId="4344DC90" w14:textId="77777777" w:rsidR="007457A0" w:rsidRDefault="007457A0" w:rsidP="007457A0">
      <w:pPr>
        <w:pStyle w:val="Default"/>
        <w:rPr>
          <w:sz w:val="22"/>
          <w:szCs w:val="22"/>
        </w:rPr>
      </w:pPr>
    </w:p>
    <w:p w14:paraId="43CE4B77" w14:textId="77777777" w:rsidR="007457A0" w:rsidRDefault="007457A0" w:rsidP="007457A0">
      <w:pPr>
        <w:pStyle w:val="Default"/>
        <w:rPr>
          <w:b/>
          <w:bCs/>
          <w:sz w:val="22"/>
          <w:szCs w:val="22"/>
        </w:rPr>
      </w:pPr>
      <w:r>
        <w:rPr>
          <w:b/>
          <w:bCs/>
          <w:sz w:val="22"/>
          <w:szCs w:val="22"/>
        </w:rPr>
        <w:t xml:space="preserve">Promotion of Academic Professionals </w:t>
      </w:r>
    </w:p>
    <w:p w14:paraId="5C31F530" w14:textId="77777777" w:rsidR="007457A0" w:rsidRDefault="007457A0" w:rsidP="007457A0">
      <w:pPr>
        <w:pStyle w:val="Default"/>
        <w:rPr>
          <w:sz w:val="22"/>
          <w:szCs w:val="22"/>
        </w:rPr>
      </w:pPr>
      <w:r>
        <w:rPr>
          <w:sz w:val="22"/>
          <w:szCs w:val="22"/>
        </w:rPr>
        <w:t xml:space="preserve">A full list of Academic Professional (AP) titles are listed in ACD 505-03. Within the Biodesign Institute, APs generally hold fixed-term, year-to-year appointments. Promotion of academic professionals is warranted only when achievements are tangibly demonstrated. Thus, promotion is based neither on promise nor longevity, but on demonstrated excellence. Promotion criteria for academic professionals depends on the AP's assigned job responsibilities and the level of their position. Guidelines for significant accomplishment are outlined below. The three areas considered in evaluation of all academic professionals seeking promotion are excellence through position effectiveness, professional contributions, and institutional, professional, or community service. </w:t>
      </w:r>
    </w:p>
    <w:p w14:paraId="03980DEE" w14:textId="77777777" w:rsidR="007457A0" w:rsidRDefault="007457A0" w:rsidP="007457A0">
      <w:pPr>
        <w:pStyle w:val="Default"/>
        <w:rPr>
          <w:sz w:val="22"/>
          <w:szCs w:val="22"/>
        </w:rPr>
      </w:pPr>
    </w:p>
    <w:p w14:paraId="7B5B0E9E" w14:textId="77777777" w:rsidR="007457A0" w:rsidRDefault="007457A0" w:rsidP="007457A0">
      <w:pPr>
        <w:pStyle w:val="Default"/>
        <w:rPr>
          <w:sz w:val="22"/>
          <w:szCs w:val="22"/>
        </w:rPr>
      </w:pPr>
      <w:r>
        <w:rPr>
          <w:b/>
          <w:bCs/>
          <w:sz w:val="22"/>
          <w:szCs w:val="22"/>
        </w:rPr>
        <w:t xml:space="preserve">Promotion of Academic Professionals from Assistant to Associate Rank </w:t>
      </w:r>
    </w:p>
    <w:p w14:paraId="6F4CB536" w14:textId="77777777" w:rsidR="007457A0" w:rsidRDefault="007457A0" w:rsidP="007457A0">
      <w:pPr>
        <w:pStyle w:val="Default"/>
        <w:rPr>
          <w:sz w:val="22"/>
          <w:szCs w:val="22"/>
        </w:rPr>
      </w:pPr>
      <w:r>
        <w:rPr>
          <w:sz w:val="22"/>
          <w:szCs w:val="22"/>
        </w:rPr>
        <w:t xml:space="preserve">Candidates for promotion from Assistant to Associate Academic Professional must demonstrate excellence in position effectiveness, continued professional contributions, and growth and involvement in institutional, professional, or community service. Examples are outlined in the categories listed below. </w:t>
      </w:r>
      <w:bookmarkStart w:id="0" w:name="_GoBack"/>
      <w:bookmarkEnd w:id="0"/>
    </w:p>
    <w:p w14:paraId="6CD0D585" w14:textId="77777777" w:rsidR="007457A0" w:rsidRDefault="007457A0" w:rsidP="007457A0">
      <w:pPr>
        <w:pStyle w:val="Default"/>
        <w:rPr>
          <w:sz w:val="22"/>
          <w:szCs w:val="22"/>
        </w:rPr>
      </w:pPr>
    </w:p>
    <w:p w14:paraId="229C47BA" w14:textId="77777777" w:rsidR="007457A0" w:rsidRDefault="007457A0" w:rsidP="007457A0">
      <w:pPr>
        <w:pStyle w:val="Default"/>
        <w:rPr>
          <w:sz w:val="22"/>
          <w:szCs w:val="22"/>
        </w:rPr>
      </w:pPr>
      <w:r>
        <w:rPr>
          <w:b/>
          <w:bCs/>
          <w:sz w:val="22"/>
          <w:szCs w:val="22"/>
        </w:rPr>
        <w:t>Position Effectiveness</w:t>
      </w:r>
      <w:r>
        <w:rPr>
          <w:sz w:val="22"/>
          <w:szCs w:val="22"/>
        </w:rPr>
        <w:t xml:space="preserve">—Research support will be the focus of the job description; multiple examples from among the following may serve to demonstrate excellence: </w:t>
      </w:r>
    </w:p>
    <w:p w14:paraId="60788083" w14:textId="77777777" w:rsidR="007457A0" w:rsidRDefault="007457A0" w:rsidP="007457A0">
      <w:pPr>
        <w:pStyle w:val="Default"/>
        <w:numPr>
          <w:ilvl w:val="0"/>
          <w:numId w:val="3"/>
        </w:numPr>
        <w:rPr>
          <w:sz w:val="22"/>
          <w:szCs w:val="22"/>
        </w:rPr>
      </w:pPr>
      <w:r>
        <w:rPr>
          <w:sz w:val="22"/>
          <w:szCs w:val="22"/>
        </w:rPr>
        <w:t xml:space="preserve">Demonstrated superior management of instrumentation or equipment facilities that support the research, instructional or outreach missions of the institution </w:t>
      </w:r>
    </w:p>
    <w:p w14:paraId="09E7088C" w14:textId="77777777" w:rsidR="007457A0" w:rsidRDefault="007457A0" w:rsidP="007457A0">
      <w:pPr>
        <w:pStyle w:val="Default"/>
        <w:numPr>
          <w:ilvl w:val="0"/>
          <w:numId w:val="3"/>
        </w:numPr>
        <w:rPr>
          <w:sz w:val="22"/>
          <w:szCs w:val="22"/>
        </w:rPr>
      </w:pPr>
      <w:r>
        <w:rPr>
          <w:sz w:val="22"/>
          <w:szCs w:val="22"/>
        </w:rPr>
        <w:t xml:space="preserve">A record of significant contributions to research and scholarship, either through wide dissemination of results or through a convincing record of substantial support to the research enterprise depending on the level of the position. </w:t>
      </w:r>
    </w:p>
    <w:p w14:paraId="7F3F85FF" w14:textId="77777777" w:rsidR="007457A0" w:rsidRDefault="007457A0" w:rsidP="007457A0">
      <w:pPr>
        <w:pStyle w:val="Default"/>
        <w:numPr>
          <w:ilvl w:val="0"/>
          <w:numId w:val="3"/>
        </w:numPr>
        <w:rPr>
          <w:sz w:val="22"/>
          <w:szCs w:val="22"/>
        </w:rPr>
      </w:pPr>
      <w:r>
        <w:rPr>
          <w:sz w:val="22"/>
          <w:szCs w:val="22"/>
        </w:rPr>
        <w:t xml:space="preserve">Demonstrated development of expertise in the area(s) of assignment consistent with the job description and the level of the position </w:t>
      </w:r>
    </w:p>
    <w:p w14:paraId="43048F1B" w14:textId="77777777" w:rsidR="007457A0" w:rsidRDefault="007457A0" w:rsidP="007457A0">
      <w:pPr>
        <w:pStyle w:val="Default"/>
        <w:numPr>
          <w:ilvl w:val="0"/>
          <w:numId w:val="3"/>
        </w:numPr>
        <w:rPr>
          <w:sz w:val="22"/>
          <w:szCs w:val="22"/>
        </w:rPr>
      </w:pPr>
      <w:r>
        <w:rPr>
          <w:sz w:val="22"/>
          <w:szCs w:val="22"/>
        </w:rPr>
        <w:t xml:space="preserve">Significant contributions to the preparation of successful grant proposals and refereed scholarly manuscripts, where relevant </w:t>
      </w:r>
    </w:p>
    <w:p w14:paraId="20F2E83C" w14:textId="77777777" w:rsidR="007457A0" w:rsidRDefault="007457A0" w:rsidP="007457A0">
      <w:pPr>
        <w:pStyle w:val="Default"/>
        <w:numPr>
          <w:ilvl w:val="0"/>
          <w:numId w:val="3"/>
        </w:numPr>
        <w:rPr>
          <w:sz w:val="22"/>
          <w:szCs w:val="22"/>
        </w:rPr>
      </w:pPr>
      <w:r>
        <w:rPr>
          <w:sz w:val="22"/>
          <w:szCs w:val="22"/>
        </w:rPr>
        <w:t xml:space="preserve">Evidence of effective mentorship, laboratory instruction, or the supervision or coordination of undergraduates, graduate students, or employees whose work is essential to the research enterprise </w:t>
      </w:r>
    </w:p>
    <w:p w14:paraId="21C40F14" w14:textId="77777777" w:rsidR="007457A0" w:rsidRDefault="007457A0" w:rsidP="007457A0">
      <w:pPr>
        <w:pStyle w:val="Default"/>
        <w:rPr>
          <w:sz w:val="22"/>
          <w:szCs w:val="22"/>
        </w:rPr>
      </w:pPr>
    </w:p>
    <w:p w14:paraId="79833E77" w14:textId="77777777" w:rsidR="007457A0" w:rsidRDefault="007457A0" w:rsidP="007457A0">
      <w:pPr>
        <w:pStyle w:val="Default"/>
        <w:rPr>
          <w:sz w:val="22"/>
          <w:szCs w:val="22"/>
        </w:rPr>
      </w:pPr>
      <w:r>
        <w:rPr>
          <w:b/>
          <w:bCs/>
          <w:sz w:val="22"/>
          <w:szCs w:val="22"/>
        </w:rPr>
        <w:t xml:space="preserve">Professional Contributions- </w:t>
      </w:r>
      <w:r>
        <w:rPr>
          <w:sz w:val="22"/>
          <w:szCs w:val="22"/>
        </w:rPr>
        <w:t xml:space="preserve">Professional contributions comprise a wide range of endeavors that draw upon the academic professional’s expertise, talents, and interests and represent a commitment to the profession or to the discipline that extends beyond the scope of assigned responsibilities. </w:t>
      </w:r>
    </w:p>
    <w:p w14:paraId="3B005105" w14:textId="77777777" w:rsidR="007457A0" w:rsidRDefault="007457A0" w:rsidP="007457A0">
      <w:pPr>
        <w:pStyle w:val="Default"/>
        <w:numPr>
          <w:ilvl w:val="0"/>
          <w:numId w:val="2"/>
        </w:numPr>
        <w:rPr>
          <w:sz w:val="22"/>
          <w:szCs w:val="22"/>
        </w:rPr>
      </w:pPr>
      <w:r>
        <w:rPr>
          <w:sz w:val="22"/>
          <w:szCs w:val="22"/>
        </w:rPr>
        <w:t xml:space="preserve">Professional contributions may include, but are not limited to: </w:t>
      </w:r>
    </w:p>
    <w:p w14:paraId="1630F4FA" w14:textId="77777777" w:rsidR="007457A0" w:rsidRDefault="007457A0" w:rsidP="007457A0">
      <w:pPr>
        <w:pStyle w:val="Default"/>
        <w:numPr>
          <w:ilvl w:val="0"/>
          <w:numId w:val="2"/>
        </w:numPr>
        <w:rPr>
          <w:sz w:val="22"/>
          <w:szCs w:val="22"/>
        </w:rPr>
      </w:pPr>
      <w:r>
        <w:rPr>
          <w:sz w:val="22"/>
          <w:szCs w:val="22"/>
        </w:rPr>
        <w:t xml:space="preserve">participation in appropriate professional or scholarly organizations </w:t>
      </w:r>
    </w:p>
    <w:p w14:paraId="6F32CB39" w14:textId="77777777" w:rsidR="007457A0" w:rsidRDefault="007457A0" w:rsidP="007457A0">
      <w:pPr>
        <w:pStyle w:val="Default"/>
        <w:numPr>
          <w:ilvl w:val="0"/>
          <w:numId w:val="2"/>
        </w:numPr>
        <w:rPr>
          <w:sz w:val="22"/>
          <w:szCs w:val="22"/>
        </w:rPr>
      </w:pPr>
      <w:r>
        <w:rPr>
          <w:sz w:val="22"/>
          <w:szCs w:val="22"/>
        </w:rPr>
        <w:t xml:space="preserve">publication and dissemination </w:t>
      </w:r>
    </w:p>
    <w:p w14:paraId="0AAB3096" w14:textId="77777777" w:rsidR="007457A0" w:rsidRDefault="007457A0" w:rsidP="007457A0">
      <w:pPr>
        <w:pStyle w:val="Default"/>
        <w:numPr>
          <w:ilvl w:val="0"/>
          <w:numId w:val="2"/>
        </w:numPr>
        <w:rPr>
          <w:sz w:val="22"/>
          <w:szCs w:val="22"/>
        </w:rPr>
      </w:pPr>
      <w:r>
        <w:rPr>
          <w:sz w:val="22"/>
          <w:szCs w:val="22"/>
        </w:rPr>
        <w:t xml:space="preserve">consultations and evaluations drawing on the academic professional’s expertise </w:t>
      </w:r>
    </w:p>
    <w:p w14:paraId="6473AD1A" w14:textId="77777777" w:rsidR="007457A0" w:rsidRDefault="007457A0" w:rsidP="007457A0">
      <w:pPr>
        <w:pStyle w:val="Default"/>
        <w:numPr>
          <w:ilvl w:val="0"/>
          <w:numId w:val="2"/>
        </w:numPr>
        <w:rPr>
          <w:sz w:val="22"/>
          <w:szCs w:val="22"/>
        </w:rPr>
      </w:pPr>
      <w:r>
        <w:rPr>
          <w:sz w:val="22"/>
          <w:szCs w:val="22"/>
        </w:rPr>
        <w:t xml:space="preserve">fellowships or scholarly awards </w:t>
      </w:r>
    </w:p>
    <w:p w14:paraId="44C4AAA4" w14:textId="77777777" w:rsidR="007457A0" w:rsidRDefault="007457A0" w:rsidP="007457A0">
      <w:pPr>
        <w:pStyle w:val="Default"/>
        <w:numPr>
          <w:ilvl w:val="0"/>
          <w:numId w:val="2"/>
        </w:numPr>
        <w:rPr>
          <w:sz w:val="22"/>
          <w:szCs w:val="22"/>
        </w:rPr>
      </w:pPr>
      <w:r>
        <w:rPr>
          <w:sz w:val="22"/>
          <w:szCs w:val="22"/>
        </w:rPr>
        <w:t xml:space="preserve">grant proposals submitted or grants received </w:t>
      </w:r>
    </w:p>
    <w:p w14:paraId="47D33A82" w14:textId="77777777" w:rsidR="007457A0" w:rsidRDefault="007457A0" w:rsidP="007457A0">
      <w:pPr>
        <w:pStyle w:val="Default"/>
        <w:numPr>
          <w:ilvl w:val="0"/>
          <w:numId w:val="2"/>
        </w:numPr>
        <w:rPr>
          <w:sz w:val="22"/>
          <w:szCs w:val="22"/>
        </w:rPr>
      </w:pPr>
      <w:r>
        <w:rPr>
          <w:sz w:val="22"/>
          <w:szCs w:val="22"/>
        </w:rPr>
        <w:lastRenderedPageBreak/>
        <w:t xml:space="preserve">Research, teaching, leadership, management, or administrative roles within the academic professional’s specialization beyond those stated in the position description for the individual. </w:t>
      </w:r>
    </w:p>
    <w:p w14:paraId="0D785A68" w14:textId="77777777" w:rsidR="007457A0" w:rsidRDefault="007457A0" w:rsidP="007457A0">
      <w:pPr>
        <w:pStyle w:val="Default"/>
        <w:rPr>
          <w:sz w:val="22"/>
          <w:szCs w:val="22"/>
        </w:rPr>
      </w:pPr>
    </w:p>
    <w:p w14:paraId="5D30FEB4" w14:textId="77777777" w:rsidR="007457A0" w:rsidRDefault="007457A0" w:rsidP="007457A0">
      <w:pPr>
        <w:pStyle w:val="Default"/>
        <w:rPr>
          <w:b/>
          <w:bCs/>
          <w:sz w:val="22"/>
          <w:szCs w:val="22"/>
        </w:rPr>
      </w:pPr>
    </w:p>
    <w:p w14:paraId="3BA81EB3" w14:textId="77777777" w:rsidR="007457A0" w:rsidRDefault="007457A0" w:rsidP="007457A0">
      <w:pPr>
        <w:pStyle w:val="Default"/>
        <w:rPr>
          <w:b/>
          <w:bCs/>
          <w:sz w:val="22"/>
          <w:szCs w:val="22"/>
        </w:rPr>
      </w:pPr>
    </w:p>
    <w:p w14:paraId="3BAE94AA" w14:textId="77777777" w:rsidR="007457A0" w:rsidRDefault="007457A0" w:rsidP="007457A0">
      <w:pPr>
        <w:pStyle w:val="Default"/>
        <w:rPr>
          <w:sz w:val="22"/>
          <w:szCs w:val="22"/>
        </w:rPr>
      </w:pPr>
      <w:r>
        <w:rPr>
          <w:b/>
          <w:bCs/>
          <w:sz w:val="22"/>
          <w:szCs w:val="22"/>
        </w:rPr>
        <w:t>Institutional, Professional, and Community Service</w:t>
      </w:r>
      <w:r>
        <w:rPr>
          <w:sz w:val="22"/>
          <w:szCs w:val="22"/>
        </w:rPr>
        <w:t xml:space="preserve">— Service may include such activities as membership on academic unit committees, roles in shared governance, contributions to campus committees, and/or similar activities within professional organizations. Service may also include community activities that draw upon professional expertise or subject knowledge and/or advance the university by meeting the needs of the greater public. </w:t>
      </w:r>
    </w:p>
    <w:p w14:paraId="338A1D38" w14:textId="77777777" w:rsidR="007457A0" w:rsidRDefault="007457A0" w:rsidP="007457A0">
      <w:pPr>
        <w:pStyle w:val="Default"/>
        <w:rPr>
          <w:sz w:val="22"/>
          <w:szCs w:val="22"/>
        </w:rPr>
      </w:pPr>
    </w:p>
    <w:p w14:paraId="548FB08E" w14:textId="77777777" w:rsidR="007457A0" w:rsidRDefault="007457A0" w:rsidP="007457A0">
      <w:pPr>
        <w:pStyle w:val="Default"/>
        <w:rPr>
          <w:sz w:val="22"/>
          <w:szCs w:val="22"/>
        </w:rPr>
      </w:pPr>
      <w:r>
        <w:rPr>
          <w:sz w:val="22"/>
          <w:szCs w:val="22"/>
        </w:rPr>
        <w:t xml:space="preserve">Service may include, but is not limited to: </w:t>
      </w:r>
    </w:p>
    <w:p w14:paraId="27750ECE" w14:textId="77777777" w:rsidR="007457A0" w:rsidRDefault="007457A0" w:rsidP="007457A0">
      <w:pPr>
        <w:pStyle w:val="Default"/>
        <w:numPr>
          <w:ilvl w:val="0"/>
          <w:numId w:val="4"/>
        </w:numPr>
        <w:rPr>
          <w:sz w:val="22"/>
          <w:szCs w:val="22"/>
        </w:rPr>
      </w:pPr>
      <w:r>
        <w:rPr>
          <w:sz w:val="22"/>
          <w:szCs w:val="22"/>
        </w:rPr>
        <w:t xml:space="preserve">Significant involvement in institutional, professional, or community service work as appropriate </w:t>
      </w:r>
    </w:p>
    <w:p w14:paraId="50C5B8CC" w14:textId="77777777" w:rsidR="007457A0" w:rsidRDefault="007457A0" w:rsidP="007457A0">
      <w:pPr>
        <w:pStyle w:val="Default"/>
        <w:numPr>
          <w:ilvl w:val="0"/>
          <w:numId w:val="4"/>
        </w:numPr>
        <w:rPr>
          <w:sz w:val="22"/>
          <w:szCs w:val="22"/>
        </w:rPr>
      </w:pPr>
      <w:r>
        <w:rPr>
          <w:sz w:val="22"/>
          <w:szCs w:val="22"/>
        </w:rPr>
        <w:t xml:space="preserve">Evidence of extensive collaboration with faculty in their research activities </w:t>
      </w:r>
    </w:p>
    <w:p w14:paraId="4C4F3A48" w14:textId="77777777" w:rsidR="007457A0" w:rsidRDefault="007457A0" w:rsidP="007457A0">
      <w:pPr>
        <w:pStyle w:val="Default"/>
        <w:numPr>
          <w:ilvl w:val="0"/>
          <w:numId w:val="4"/>
        </w:numPr>
        <w:rPr>
          <w:sz w:val="22"/>
          <w:szCs w:val="22"/>
        </w:rPr>
      </w:pPr>
      <w:r>
        <w:rPr>
          <w:sz w:val="22"/>
          <w:szCs w:val="22"/>
        </w:rPr>
        <w:t xml:space="preserve">Evidence of effective outreach to K-12 schools or the general public </w:t>
      </w:r>
    </w:p>
    <w:p w14:paraId="167BC3A3" w14:textId="77777777" w:rsidR="007457A0" w:rsidRDefault="007457A0" w:rsidP="007457A0">
      <w:pPr>
        <w:pStyle w:val="Default"/>
        <w:numPr>
          <w:ilvl w:val="0"/>
          <w:numId w:val="4"/>
        </w:numPr>
        <w:rPr>
          <w:sz w:val="22"/>
          <w:szCs w:val="22"/>
        </w:rPr>
      </w:pPr>
      <w:r>
        <w:rPr>
          <w:sz w:val="22"/>
          <w:szCs w:val="22"/>
        </w:rPr>
        <w:t xml:space="preserve">Participation on Institutional or unit committees </w:t>
      </w:r>
    </w:p>
    <w:p w14:paraId="250CF1C6" w14:textId="77777777" w:rsidR="007457A0" w:rsidRDefault="007457A0" w:rsidP="007457A0">
      <w:pPr>
        <w:pStyle w:val="Default"/>
        <w:rPr>
          <w:sz w:val="22"/>
          <w:szCs w:val="22"/>
        </w:rPr>
      </w:pPr>
    </w:p>
    <w:p w14:paraId="7CA3FD30" w14:textId="77777777" w:rsidR="007457A0" w:rsidRDefault="007457A0" w:rsidP="007457A0">
      <w:pPr>
        <w:pStyle w:val="Default"/>
        <w:rPr>
          <w:sz w:val="22"/>
          <w:szCs w:val="22"/>
        </w:rPr>
      </w:pPr>
      <w:r>
        <w:rPr>
          <w:b/>
          <w:bCs/>
          <w:sz w:val="22"/>
          <w:szCs w:val="22"/>
        </w:rPr>
        <w:t xml:space="preserve">Promotion of Academic Professionals from Associate to Full rank </w:t>
      </w:r>
    </w:p>
    <w:p w14:paraId="3A35067C" w14:textId="77777777" w:rsidR="007457A0" w:rsidRDefault="007457A0" w:rsidP="007457A0">
      <w:pPr>
        <w:pStyle w:val="Default"/>
        <w:rPr>
          <w:sz w:val="22"/>
          <w:szCs w:val="22"/>
        </w:rPr>
      </w:pPr>
      <w:r>
        <w:rPr>
          <w:sz w:val="22"/>
          <w:szCs w:val="22"/>
        </w:rPr>
        <w:t xml:space="preserve">The term "full" is not usually stated, but is used to designate the highest rank of an academic professional title. Candidates for promotion to this rank will typically have a minimum of seven years in rank at ASU and may count the year of application for promotion toward this eligibility requirement. </w:t>
      </w:r>
    </w:p>
    <w:p w14:paraId="1F469A31" w14:textId="77777777" w:rsidR="007457A0" w:rsidRDefault="007457A0" w:rsidP="007457A0">
      <w:pPr>
        <w:pStyle w:val="Default"/>
        <w:rPr>
          <w:sz w:val="22"/>
          <w:szCs w:val="22"/>
        </w:rPr>
      </w:pPr>
      <w:r>
        <w:rPr>
          <w:sz w:val="22"/>
          <w:szCs w:val="22"/>
        </w:rPr>
        <w:t xml:space="preserve">Candidates must demonstrate excellence in position effectiveness, continued growth in professional contributions, and involvement in institutional, professional, and community service activities. Examples are outlined in the categories listed below. </w:t>
      </w:r>
    </w:p>
    <w:p w14:paraId="729606CA" w14:textId="77777777" w:rsidR="007457A0" w:rsidRDefault="007457A0" w:rsidP="007457A0">
      <w:pPr>
        <w:pStyle w:val="Default"/>
        <w:rPr>
          <w:sz w:val="22"/>
          <w:szCs w:val="22"/>
        </w:rPr>
      </w:pPr>
    </w:p>
    <w:p w14:paraId="008F6E0B" w14:textId="77777777" w:rsidR="007457A0" w:rsidRDefault="007457A0" w:rsidP="007457A0">
      <w:pPr>
        <w:pStyle w:val="Default"/>
        <w:rPr>
          <w:sz w:val="22"/>
          <w:szCs w:val="22"/>
        </w:rPr>
      </w:pPr>
      <w:r>
        <w:rPr>
          <w:b/>
          <w:bCs/>
          <w:sz w:val="22"/>
          <w:szCs w:val="22"/>
        </w:rPr>
        <w:t xml:space="preserve">Position Effectiveness </w:t>
      </w:r>
      <w:r>
        <w:rPr>
          <w:sz w:val="22"/>
          <w:szCs w:val="22"/>
        </w:rPr>
        <w:t xml:space="preserve">-- Research support will be the focus of the job description; multiple examples from among the following may serve to demonstrate excellence: </w:t>
      </w:r>
    </w:p>
    <w:p w14:paraId="197D5CD0" w14:textId="77777777" w:rsidR="007457A0" w:rsidRDefault="007457A0" w:rsidP="007457A0">
      <w:pPr>
        <w:pStyle w:val="Default"/>
        <w:numPr>
          <w:ilvl w:val="0"/>
          <w:numId w:val="5"/>
        </w:numPr>
        <w:rPr>
          <w:sz w:val="22"/>
          <w:szCs w:val="22"/>
        </w:rPr>
      </w:pPr>
      <w:r>
        <w:rPr>
          <w:sz w:val="22"/>
          <w:szCs w:val="22"/>
        </w:rPr>
        <w:t xml:space="preserve">A sustained record of scholarly initiative and recognized contributions to their fields </w:t>
      </w:r>
    </w:p>
    <w:p w14:paraId="795E4F9B" w14:textId="77777777" w:rsidR="007457A0" w:rsidRDefault="007457A0" w:rsidP="007457A0">
      <w:pPr>
        <w:pStyle w:val="Default"/>
        <w:numPr>
          <w:ilvl w:val="0"/>
          <w:numId w:val="5"/>
        </w:numPr>
        <w:rPr>
          <w:sz w:val="22"/>
          <w:szCs w:val="22"/>
        </w:rPr>
      </w:pPr>
      <w:r>
        <w:rPr>
          <w:sz w:val="22"/>
          <w:szCs w:val="22"/>
        </w:rPr>
        <w:t xml:space="preserve">Distinctive contributions to nationally or internationally recognized scholarship or evidence of nationally or internationally recognized expertise </w:t>
      </w:r>
    </w:p>
    <w:p w14:paraId="3220F3EB" w14:textId="77777777" w:rsidR="007457A0" w:rsidRDefault="007457A0" w:rsidP="007457A0">
      <w:pPr>
        <w:pStyle w:val="Default"/>
        <w:numPr>
          <w:ilvl w:val="0"/>
          <w:numId w:val="5"/>
        </w:numPr>
        <w:rPr>
          <w:sz w:val="22"/>
          <w:szCs w:val="22"/>
        </w:rPr>
      </w:pPr>
      <w:r>
        <w:rPr>
          <w:sz w:val="22"/>
          <w:szCs w:val="22"/>
        </w:rPr>
        <w:t xml:space="preserve">Demonstrated ability to write or participate significantly in the writing of successful grant proposals and refereed manuscripts </w:t>
      </w:r>
    </w:p>
    <w:p w14:paraId="353A5151" w14:textId="77777777" w:rsidR="007457A0" w:rsidRDefault="007457A0" w:rsidP="007457A0">
      <w:pPr>
        <w:pStyle w:val="Default"/>
        <w:numPr>
          <w:ilvl w:val="0"/>
          <w:numId w:val="5"/>
        </w:numPr>
        <w:rPr>
          <w:sz w:val="22"/>
          <w:szCs w:val="22"/>
        </w:rPr>
      </w:pPr>
      <w:r>
        <w:rPr>
          <w:sz w:val="22"/>
          <w:szCs w:val="22"/>
        </w:rPr>
        <w:t xml:space="preserve">Significant contributions to national or international scientific meetings </w:t>
      </w:r>
    </w:p>
    <w:p w14:paraId="194E6D31" w14:textId="77777777" w:rsidR="007457A0" w:rsidRDefault="007457A0" w:rsidP="007457A0">
      <w:pPr>
        <w:pStyle w:val="Default"/>
        <w:numPr>
          <w:ilvl w:val="0"/>
          <w:numId w:val="5"/>
        </w:numPr>
        <w:rPr>
          <w:sz w:val="22"/>
          <w:szCs w:val="22"/>
        </w:rPr>
      </w:pPr>
      <w:r>
        <w:rPr>
          <w:sz w:val="22"/>
          <w:szCs w:val="22"/>
        </w:rPr>
        <w:t xml:space="preserve">Sustained, demonstrable effectiveness in mentorship, laboratory instruction, and supervision or coordination of undergraduates, graduate students, or employees whose work is essential to the research enterprise </w:t>
      </w:r>
    </w:p>
    <w:p w14:paraId="70BF9F54" w14:textId="77777777" w:rsidR="007457A0" w:rsidRDefault="007457A0" w:rsidP="007457A0">
      <w:pPr>
        <w:pStyle w:val="Default"/>
        <w:rPr>
          <w:sz w:val="22"/>
          <w:szCs w:val="22"/>
        </w:rPr>
      </w:pPr>
    </w:p>
    <w:p w14:paraId="02505201" w14:textId="77777777" w:rsidR="007457A0" w:rsidRDefault="007457A0" w:rsidP="007457A0">
      <w:pPr>
        <w:pStyle w:val="Default"/>
        <w:rPr>
          <w:sz w:val="22"/>
          <w:szCs w:val="22"/>
        </w:rPr>
      </w:pPr>
      <w:r>
        <w:rPr>
          <w:b/>
          <w:bCs/>
          <w:sz w:val="22"/>
          <w:szCs w:val="22"/>
        </w:rPr>
        <w:t xml:space="preserve">Professional Contributions- </w:t>
      </w:r>
      <w:r>
        <w:rPr>
          <w:sz w:val="22"/>
          <w:szCs w:val="22"/>
        </w:rPr>
        <w:t xml:space="preserve">Professional contributions comprise a wide range of endeavors that draw upon the academic professional’s expertise, talents, and interests and represent a commitment to the profession or to the discipline that extends beyond the scope of assigned responsibilities. </w:t>
      </w:r>
    </w:p>
    <w:p w14:paraId="5E66A6D6" w14:textId="77777777" w:rsidR="007457A0" w:rsidRDefault="007457A0" w:rsidP="007457A0">
      <w:pPr>
        <w:pStyle w:val="Default"/>
        <w:rPr>
          <w:sz w:val="22"/>
          <w:szCs w:val="22"/>
        </w:rPr>
      </w:pPr>
      <w:r>
        <w:rPr>
          <w:sz w:val="22"/>
          <w:szCs w:val="22"/>
        </w:rPr>
        <w:t xml:space="preserve">Professional contributions may include, but are not limited to: </w:t>
      </w:r>
    </w:p>
    <w:p w14:paraId="231B3B9C" w14:textId="77777777" w:rsidR="007457A0" w:rsidRDefault="007457A0" w:rsidP="007457A0">
      <w:pPr>
        <w:pStyle w:val="Default"/>
        <w:numPr>
          <w:ilvl w:val="0"/>
          <w:numId w:val="6"/>
        </w:numPr>
        <w:rPr>
          <w:sz w:val="22"/>
          <w:szCs w:val="22"/>
        </w:rPr>
      </w:pPr>
      <w:r>
        <w:rPr>
          <w:sz w:val="22"/>
          <w:szCs w:val="22"/>
        </w:rPr>
        <w:t xml:space="preserve">publication and dissemination </w:t>
      </w:r>
    </w:p>
    <w:p w14:paraId="66CA8E4F" w14:textId="77777777" w:rsidR="007457A0" w:rsidRDefault="007457A0" w:rsidP="007457A0">
      <w:pPr>
        <w:pStyle w:val="Default"/>
        <w:numPr>
          <w:ilvl w:val="0"/>
          <w:numId w:val="6"/>
        </w:numPr>
        <w:rPr>
          <w:sz w:val="22"/>
          <w:szCs w:val="22"/>
        </w:rPr>
      </w:pPr>
      <w:r>
        <w:rPr>
          <w:sz w:val="22"/>
          <w:szCs w:val="22"/>
        </w:rPr>
        <w:lastRenderedPageBreak/>
        <w:t xml:space="preserve">efforts to transfer techniques and practices resulting from creative activity at the university to other institutions </w:t>
      </w:r>
    </w:p>
    <w:p w14:paraId="03C26736" w14:textId="77777777" w:rsidR="007457A0" w:rsidRDefault="007457A0" w:rsidP="007457A0">
      <w:pPr>
        <w:pStyle w:val="Default"/>
        <w:numPr>
          <w:ilvl w:val="0"/>
          <w:numId w:val="6"/>
        </w:numPr>
        <w:rPr>
          <w:sz w:val="22"/>
          <w:szCs w:val="22"/>
        </w:rPr>
      </w:pPr>
      <w:r>
        <w:rPr>
          <w:sz w:val="22"/>
          <w:szCs w:val="22"/>
        </w:rPr>
        <w:t xml:space="preserve">consultations and evaluations drawing on the academic professional’s expertise </w:t>
      </w:r>
    </w:p>
    <w:p w14:paraId="53FE356B" w14:textId="77777777" w:rsidR="007457A0" w:rsidRDefault="007457A0" w:rsidP="007457A0">
      <w:pPr>
        <w:pStyle w:val="Default"/>
        <w:numPr>
          <w:ilvl w:val="0"/>
          <w:numId w:val="6"/>
        </w:numPr>
        <w:rPr>
          <w:sz w:val="22"/>
          <w:szCs w:val="22"/>
        </w:rPr>
      </w:pPr>
      <w:r>
        <w:rPr>
          <w:sz w:val="22"/>
          <w:szCs w:val="22"/>
        </w:rPr>
        <w:t xml:space="preserve">fellowships or scholarly awards </w:t>
      </w:r>
    </w:p>
    <w:p w14:paraId="5A54298E" w14:textId="77777777" w:rsidR="007457A0" w:rsidRDefault="007457A0" w:rsidP="007457A0">
      <w:pPr>
        <w:pStyle w:val="Default"/>
        <w:numPr>
          <w:ilvl w:val="0"/>
          <w:numId w:val="6"/>
        </w:numPr>
        <w:rPr>
          <w:sz w:val="22"/>
          <w:szCs w:val="22"/>
        </w:rPr>
      </w:pPr>
      <w:r>
        <w:rPr>
          <w:sz w:val="22"/>
          <w:szCs w:val="22"/>
        </w:rPr>
        <w:t xml:space="preserve">grant proposals submitted or grants received </w:t>
      </w:r>
    </w:p>
    <w:p w14:paraId="69CB04B3" w14:textId="77777777" w:rsidR="007457A0" w:rsidRDefault="007457A0" w:rsidP="007457A0">
      <w:pPr>
        <w:pStyle w:val="Default"/>
        <w:numPr>
          <w:ilvl w:val="0"/>
          <w:numId w:val="6"/>
        </w:numPr>
        <w:rPr>
          <w:sz w:val="22"/>
          <w:szCs w:val="22"/>
        </w:rPr>
      </w:pPr>
      <w:r>
        <w:rPr>
          <w:sz w:val="22"/>
          <w:szCs w:val="22"/>
        </w:rPr>
        <w:t xml:space="preserve">Research, teaching, leadership, management, or administrative roles within the academic professional’s specialization beyond those stated in the position description for the individual. </w:t>
      </w:r>
    </w:p>
    <w:p w14:paraId="2C80383F" w14:textId="77777777" w:rsidR="007457A0" w:rsidRDefault="007457A0" w:rsidP="007457A0">
      <w:pPr>
        <w:pStyle w:val="Default"/>
        <w:rPr>
          <w:sz w:val="22"/>
          <w:szCs w:val="22"/>
        </w:rPr>
      </w:pPr>
    </w:p>
    <w:p w14:paraId="4DFA8DF8" w14:textId="77777777" w:rsidR="007457A0" w:rsidRDefault="007457A0" w:rsidP="007457A0">
      <w:pPr>
        <w:pStyle w:val="Default"/>
        <w:rPr>
          <w:sz w:val="22"/>
          <w:szCs w:val="22"/>
        </w:rPr>
      </w:pPr>
    </w:p>
    <w:p w14:paraId="20254F11" w14:textId="77777777" w:rsidR="007457A0" w:rsidRDefault="007457A0" w:rsidP="007457A0">
      <w:pPr>
        <w:pStyle w:val="Default"/>
        <w:rPr>
          <w:b/>
          <w:bCs/>
          <w:sz w:val="22"/>
          <w:szCs w:val="22"/>
        </w:rPr>
      </w:pPr>
    </w:p>
    <w:p w14:paraId="52570F33" w14:textId="77777777" w:rsidR="007457A0" w:rsidRDefault="007457A0" w:rsidP="007457A0">
      <w:pPr>
        <w:pStyle w:val="Default"/>
        <w:rPr>
          <w:sz w:val="22"/>
          <w:szCs w:val="22"/>
        </w:rPr>
      </w:pPr>
      <w:r>
        <w:rPr>
          <w:b/>
          <w:bCs/>
          <w:sz w:val="22"/>
          <w:szCs w:val="22"/>
        </w:rPr>
        <w:t>Institutional, Professional, and Community Service</w:t>
      </w:r>
      <w:r>
        <w:rPr>
          <w:sz w:val="22"/>
          <w:szCs w:val="22"/>
        </w:rPr>
        <w:t xml:space="preserve">— Service may include such activities as membership on Institutional or unit committees, roles in shared governance, contributions to campus committees, and/or similar activities within professional organizations. Service may also include community activities that draw upon professional expertise or subject knowledge and/or advance the university by meeting the needs of the greater public. </w:t>
      </w:r>
    </w:p>
    <w:p w14:paraId="70EEF110" w14:textId="77777777" w:rsidR="007457A0" w:rsidRDefault="007457A0" w:rsidP="007457A0">
      <w:pPr>
        <w:pStyle w:val="Default"/>
        <w:rPr>
          <w:sz w:val="22"/>
          <w:szCs w:val="22"/>
        </w:rPr>
      </w:pPr>
    </w:p>
    <w:p w14:paraId="19A2F557" w14:textId="77777777" w:rsidR="007457A0" w:rsidRDefault="007457A0" w:rsidP="007457A0">
      <w:pPr>
        <w:pStyle w:val="Default"/>
        <w:rPr>
          <w:sz w:val="22"/>
          <w:szCs w:val="22"/>
        </w:rPr>
      </w:pPr>
      <w:r>
        <w:rPr>
          <w:sz w:val="22"/>
          <w:szCs w:val="22"/>
        </w:rPr>
        <w:t xml:space="preserve">Service may include, but is not limited to: </w:t>
      </w:r>
    </w:p>
    <w:p w14:paraId="1BAACE45" w14:textId="77777777" w:rsidR="007457A0" w:rsidRDefault="007457A0" w:rsidP="007457A0">
      <w:pPr>
        <w:pStyle w:val="Default"/>
        <w:rPr>
          <w:sz w:val="22"/>
          <w:szCs w:val="22"/>
        </w:rPr>
      </w:pPr>
    </w:p>
    <w:p w14:paraId="02B7E15F" w14:textId="77777777" w:rsidR="007457A0" w:rsidRDefault="007457A0" w:rsidP="007457A0">
      <w:pPr>
        <w:pStyle w:val="Default"/>
        <w:numPr>
          <w:ilvl w:val="0"/>
          <w:numId w:val="7"/>
        </w:numPr>
        <w:rPr>
          <w:sz w:val="22"/>
          <w:szCs w:val="22"/>
        </w:rPr>
      </w:pPr>
      <w:r>
        <w:rPr>
          <w:sz w:val="22"/>
          <w:szCs w:val="22"/>
        </w:rPr>
        <w:t xml:space="preserve">Sustained involvement in institutional, professional, or community service work as appropriate </w:t>
      </w:r>
    </w:p>
    <w:p w14:paraId="634DA4BE" w14:textId="77777777" w:rsidR="007457A0" w:rsidRDefault="007457A0" w:rsidP="007457A0">
      <w:pPr>
        <w:pStyle w:val="Default"/>
        <w:numPr>
          <w:ilvl w:val="0"/>
          <w:numId w:val="7"/>
        </w:numPr>
        <w:rPr>
          <w:sz w:val="22"/>
          <w:szCs w:val="22"/>
        </w:rPr>
      </w:pPr>
      <w:r>
        <w:rPr>
          <w:sz w:val="22"/>
          <w:szCs w:val="22"/>
        </w:rPr>
        <w:t xml:space="preserve">Evidence of a leadership role in at least some aspects of their collaborations with faculty in their research activities </w:t>
      </w:r>
    </w:p>
    <w:p w14:paraId="34B605D0" w14:textId="77777777" w:rsidR="007457A0" w:rsidRDefault="007457A0" w:rsidP="007457A0">
      <w:pPr>
        <w:pStyle w:val="Default"/>
        <w:numPr>
          <w:ilvl w:val="0"/>
          <w:numId w:val="7"/>
        </w:numPr>
        <w:rPr>
          <w:sz w:val="22"/>
          <w:szCs w:val="22"/>
        </w:rPr>
      </w:pPr>
      <w:r>
        <w:rPr>
          <w:sz w:val="22"/>
          <w:szCs w:val="22"/>
        </w:rPr>
        <w:t xml:space="preserve">Demonstration of leadership roles in professional societies, such as chairing or organizing sessions at national symposia, memberships on national committees, holding offices in professional societies, appointments to important review bodies for governmental agencies </w:t>
      </w:r>
    </w:p>
    <w:p w14:paraId="4609BF8C" w14:textId="77777777" w:rsidR="007457A0" w:rsidRDefault="007457A0" w:rsidP="007457A0">
      <w:pPr>
        <w:pStyle w:val="Default"/>
        <w:rPr>
          <w:sz w:val="22"/>
          <w:szCs w:val="22"/>
        </w:rPr>
      </w:pPr>
    </w:p>
    <w:p w14:paraId="7F064688" w14:textId="77777777" w:rsidR="007457A0" w:rsidRDefault="007457A0" w:rsidP="007457A0">
      <w:pPr>
        <w:pStyle w:val="Default"/>
        <w:rPr>
          <w:sz w:val="22"/>
          <w:szCs w:val="22"/>
        </w:rPr>
      </w:pPr>
      <w:r>
        <w:rPr>
          <w:b/>
          <w:bCs/>
          <w:sz w:val="22"/>
          <w:szCs w:val="22"/>
        </w:rPr>
        <w:t xml:space="preserve">Procedure for Promotion of Academic Professionals </w:t>
      </w:r>
    </w:p>
    <w:p w14:paraId="2ECCC618" w14:textId="77777777" w:rsidR="007457A0" w:rsidRDefault="007457A0" w:rsidP="007457A0">
      <w:pPr>
        <w:pStyle w:val="Default"/>
        <w:rPr>
          <w:sz w:val="22"/>
          <w:szCs w:val="22"/>
        </w:rPr>
      </w:pPr>
      <w:r>
        <w:rPr>
          <w:sz w:val="22"/>
          <w:szCs w:val="22"/>
        </w:rPr>
        <w:t xml:space="preserve">The Biodesign Institute Personnel Committee will be comprised of Knowledge Enterprise and Biodesign Institute APs and Faculty. The AP will prepare their promotion case materials and submit to the Biodesign Institute personnel committee. The Personnel Committee will review the candidate's promotion material, evaluate the case, and prepare a letter of recommendation for the Unit Director. The Unit Director will prepare an independent letter evaluating the case. Both letters will be included in the promotion portfolio and provided to the Vice President of Research of the Knowledge Enterprise. </w:t>
      </w:r>
    </w:p>
    <w:p w14:paraId="00D855C6" w14:textId="77777777" w:rsidR="007457A0" w:rsidRPr="007457A0" w:rsidRDefault="007457A0" w:rsidP="007457A0">
      <w:pPr>
        <w:pStyle w:val="NoSpacing"/>
      </w:pPr>
    </w:p>
    <w:p w14:paraId="065F323F" w14:textId="77777777" w:rsidR="007457A0" w:rsidRPr="007457A0" w:rsidRDefault="007457A0" w:rsidP="007457A0">
      <w:pPr>
        <w:pStyle w:val="NoSpacing"/>
      </w:pPr>
      <w:r w:rsidRPr="007457A0">
        <w:t>Promotion cases should run concurrent with the annual performance review cycle w</w:t>
      </w:r>
      <w:r>
        <w:t>here promotions are effective July 1</w:t>
      </w:r>
      <w:r w:rsidRPr="007457A0">
        <w:t>. Promotion case materials should be submitted for consideration by October 1.</w:t>
      </w:r>
    </w:p>
    <w:p w14:paraId="0D175FE6" w14:textId="77777777" w:rsidR="007457A0" w:rsidRDefault="007457A0" w:rsidP="007457A0"/>
    <w:p w14:paraId="54C6C4B1" w14:textId="77777777" w:rsidR="007457A0" w:rsidRPr="002B7A7D" w:rsidRDefault="007457A0" w:rsidP="007457A0"/>
    <w:p w14:paraId="68749578" w14:textId="77777777" w:rsidR="000F0365" w:rsidRDefault="000F0365" w:rsidP="005A3D23">
      <w:pPr>
        <w:spacing w:after="0" w:line="240" w:lineRule="auto"/>
        <w:rPr>
          <w:rFonts w:cstheme="minorHAnsi"/>
          <w:b/>
          <w:color w:val="000004"/>
        </w:rPr>
      </w:pPr>
    </w:p>
    <w:p w14:paraId="5B970079" w14:textId="77777777" w:rsidR="007457A0" w:rsidRDefault="007457A0" w:rsidP="005A3D23">
      <w:pPr>
        <w:spacing w:after="0" w:line="240" w:lineRule="auto"/>
        <w:rPr>
          <w:rFonts w:cstheme="minorHAnsi"/>
          <w:b/>
          <w:color w:val="000004"/>
        </w:rPr>
      </w:pPr>
    </w:p>
    <w:p w14:paraId="4AFA00AB" w14:textId="77777777" w:rsidR="007457A0" w:rsidRPr="00336268" w:rsidRDefault="007457A0" w:rsidP="005A3D23">
      <w:pPr>
        <w:spacing w:after="0" w:line="240" w:lineRule="auto"/>
        <w:rPr>
          <w:rFonts w:cstheme="minorHAnsi"/>
          <w:b/>
          <w:color w:val="000004"/>
        </w:rPr>
      </w:pPr>
    </w:p>
    <w:sectPr w:rsidR="007457A0" w:rsidRPr="00336268" w:rsidSect="007457A0">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0C6A3" w14:textId="77777777" w:rsidR="00577641" w:rsidRDefault="00577641" w:rsidP="00654018">
      <w:pPr>
        <w:spacing w:after="0" w:line="240" w:lineRule="auto"/>
      </w:pPr>
      <w:r>
        <w:separator/>
      </w:r>
    </w:p>
  </w:endnote>
  <w:endnote w:type="continuationSeparator" w:id="0">
    <w:p w14:paraId="1BC4D8C4" w14:textId="77777777" w:rsidR="00577641" w:rsidRDefault="00577641" w:rsidP="0065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D243" w14:textId="77777777" w:rsidR="00DB5093" w:rsidRPr="007457A0" w:rsidRDefault="00DB5093" w:rsidP="007457A0">
    <w:pPr>
      <w:pStyle w:val="Footer"/>
      <w:jc w:val="center"/>
      <w:rPr>
        <w:rFonts w:ascii="Arial" w:hAnsi="Arial" w:cs="Arial"/>
        <w:b/>
        <w:color w:val="990000"/>
        <w:sz w:val="16"/>
        <w:szCs w:val="18"/>
      </w:rPr>
    </w:pPr>
  </w:p>
  <w:p w14:paraId="3A4C41E3" w14:textId="77777777" w:rsidR="00F400BF" w:rsidRPr="00F400BF" w:rsidRDefault="00F400BF" w:rsidP="00134C20">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C65F" w14:textId="77777777" w:rsidR="007457A0" w:rsidRPr="003B40B4" w:rsidRDefault="007457A0" w:rsidP="007457A0">
    <w:pPr>
      <w:pStyle w:val="Footer"/>
      <w:jc w:val="center"/>
      <w:rPr>
        <w:rFonts w:ascii="Arial" w:hAnsi="Arial" w:cs="Arial"/>
        <w:b/>
        <w:color w:val="990000"/>
        <w:sz w:val="16"/>
        <w:szCs w:val="18"/>
      </w:rPr>
    </w:pPr>
    <w:r w:rsidRPr="003B40B4">
      <w:rPr>
        <w:rFonts w:ascii="Arial" w:hAnsi="Arial" w:cs="Arial"/>
        <w:b/>
        <w:color w:val="990000"/>
        <w:sz w:val="16"/>
        <w:szCs w:val="18"/>
      </w:rPr>
      <w:t xml:space="preserve">Office of the </w:t>
    </w:r>
    <w:r>
      <w:rPr>
        <w:rFonts w:ascii="Arial" w:hAnsi="Arial" w:cs="Arial"/>
        <w:b/>
        <w:color w:val="990000"/>
        <w:sz w:val="16"/>
        <w:szCs w:val="18"/>
      </w:rPr>
      <w:t>U</w:t>
    </w:r>
    <w:r w:rsidRPr="003B40B4">
      <w:rPr>
        <w:rFonts w:ascii="Arial" w:hAnsi="Arial" w:cs="Arial"/>
        <w:b/>
        <w:color w:val="990000"/>
        <w:sz w:val="16"/>
        <w:szCs w:val="18"/>
      </w:rPr>
      <w:t xml:space="preserve">niversity </w:t>
    </w:r>
    <w:r>
      <w:rPr>
        <w:rFonts w:ascii="Arial" w:hAnsi="Arial" w:cs="Arial"/>
        <w:b/>
        <w:color w:val="990000"/>
        <w:sz w:val="16"/>
        <w:szCs w:val="18"/>
      </w:rPr>
      <w:t>P</w:t>
    </w:r>
    <w:r w:rsidRPr="003B40B4">
      <w:rPr>
        <w:rFonts w:ascii="Arial" w:hAnsi="Arial" w:cs="Arial"/>
        <w:b/>
        <w:color w:val="990000"/>
        <w:sz w:val="16"/>
        <w:szCs w:val="18"/>
      </w:rPr>
      <w:t xml:space="preserve">rovost </w:t>
    </w:r>
  </w:p>
  <w:p w14:paraId="3A2219DB" w14:textId="77777777" w:rsidR="007457A0" w:rsidRDefault="007457A0" w:rsidP="007457A0">
    <w:pPr>
      <w:pStyle w:val="Footer"/>
      <w:jc w:val="center"/>
      <w:rPr>
        <w:rFonts w:ascii="Arial" w:hAnsi="Arial" w:cs="Arial"/>
        <w:color w:val="990000"/>
        <w:sz w:val="14"/>
        <w:szCs w:val="16"/>
      </w:rPr>
    </w:pPr>
  </w:p>
  <w:p w14:paraId="4946BD40" w14:textId="77777777" w:rsidR="007457A0" w:rsidRPr="003B40B4" w:rsidRDefault="007457A0" w:rsidP="007457A0">
    <w:pPr>
      <w:pStyle w:val="Footer"/>
      <w:jc w:val="center"/>
      <w:rPr>
        <w:rFonts w:ascii="Arial" w:hAnsi="Arial" w:cs="Arial"/>
        <w:color w:val="990000"/>
        <w:sz w:val="14"/>
        <w:szCs w:val="16"/>
      </w:rPr>
    </w:pPr>
    <w:r w:rsidRPr="003B40B4">
      <w:rPr>
        <w:rFonts w:ascii="Arial" w:hAnsi="Arial" w:cs="Arial"/>
        <w:color w:val="990000"/>
        <w:sz w:val="14"/>
        <w:szCs w:val="16"/>
      </w:rPr>
      <w:t xml:space="preserve">300 </w:t>
    </w:r>
    <w:r>
      <w:rPr>
        <w:rFonts w:ascii="Arial" w:hAnsi="Arial" w:cs="Arial"/>
        <w:color w:val="990000"/>
        <w:sz w:val="14"/>
        <w:szCs w:val="16"/>
      </w:rPr>
      <w:t>East</w:t>
    </w:r>
    <w:r w:rsidRPr="003B40B4">
      <w:rPr>
        <w:rFonts w:ascii="Arial" w:hAnsi="Arial" w:cs="Arial"/>
        <w:color w:val="990000"/>
        <w:sz w:val="14"/>
        <w:szCs w:val="16"/>
      </w:rPr>
      <w:t xml:space="preserve"> University </w:t>
    </w:r>
    <w:r>
      <w:rPr>
        <w:rFonts w:ascii="Arial" w:hAnsi="Arial" w:cs="Arial"/>
        <w:color w:val="990000"/>
        <w:sz w:val="14"/>
        <w:szCs w:val="16"/>
      </w:rPr>
      <w:t>D</w:t>
    </w:r>
    <w:r w:rsidRPr="003B40B4">
      <w:rPr>
        <w:rFonts w:ascii="Arial" w:hAnsi="Arial" w:cs="Arial"/>
        <w:color w:val="990000"/>
        <w:sz w:val="14"/>
        <w:szCs w:val="16"/>
      </w:rPr>
      <w:t>rive</w:t>
    </w:r>
  </w:p>
  <w:p w14:paraId="39D72029" w14:textId="77777777" w:rsidR="007457A0" w:rsidRPr="003B40B4" w:rsidRDefault="007457A0" w:rsidP="007457A0">
    <w:pPr>
      <w:pStyle w:val="Footer"/>
      <w:jc w:val="center"/>
      <w:rPr>
        <w:rFonts w:ascii="Arial" w:hAnsi="Arial" w:cs="Arial"/>
        <w:color w:val="990000"/>
        <w:sz w:val="14"/>
        <w:szCs w:val="16"/>
      </w:rPr>
    </w:pPr>
    <w:r w:rsidRPr="003B40B4">
      <w:rPr>
        <w:rFonts w:ascii="Arial" w:hAnsi="Arial" w:cs="Arial"/>
        <w:color w:val="990000"/>
        <w:sz w:val="14"/>
        <w:szCs w:val="16"/>
      </w:rPr>
      <w:t>P.</w:t>
    </w:r>
    <w:r>
      <w:rPr>
        <w:rFonts w:ascii="Arial" w:hAnsi="Arial" w:cs="Arial"/>
        <w:color w:val="990000"/>
        <w:sz w:val="14"/>
        <w:szCs w:val="16"/>
      </w:rPr>
      <w:t>O</w:t>
    </w:r>
    <w:r w:rsidRPr="003B40B4">
      <w:rPr>
        <w:rFonts w:ascii="Arial" w:hAnsi="Arial" w:cs="Arial"/>
        <w:color w:val="990000"/>
        <w:sz w:val="14"/>
        <w:szCs w:val="16"/>
      </w:rPr>
      <w:t xml:space="preserve">. </w:t>
    </w:r>
    <w:r>
      <w:rPr>
        <w:rFonts w:ascii="Arial" w:hAnsi="Arial" w:cs="Arial"/>
        <w:color w:val="990000"/>
        <w:sz w:val="14"/>
        <w:szCs w:val="16"/>
      </w:rPr>
      <w:t>Box 877805 Tempe</w:t>
    </w:r>
    <w:r w:rsidRPr="003B40B4">
      <w:rPr>
        <w:rFonts w:ascii="Arial" w:hAnsi="Arial" w:cs="Arial"/>
        <w:color w:val="990000"/>
        <w:sz w:val="14"/>
        <w:szCs w:val="16"/>
      </w:rPr>
      <w:t xml:space="preserve">, </w:t>
    </w:r>
    <w:r>
      <w:rPr>
        <w:rFonts w:ascii="Arial" w:hAnsi="Arial" w:cs="Arial"/>
        <w:color w:val="990000"/>
        <w:sz w:val="14"/>
        <w:szCs w:val="16"/>
      </w:rPr>
      <w:t xml:space="preserve">AZ </w:t>
    </w:r>
    <w:r w:rsidRPr="003B40B4">
      <w:rPr>
        <w:rFonts w:ascii="Arial" w:hAnsi="Arial" w:cs="Arial"/>
        <w:color w:val="990000"/>
        <w:sz w:val="14"/>
        <w:szCs w:val="16"/>
      </w:rPr>
      <w:t>85287-780</w:t>
    </w:r>
    <w:r>
      <w:rPr>
        <w:rFonts w:ascii="Arial" w:hAnsi="Arial" w:cs="Arial"/>
        <w:color w:val="990000"/>
        <w:sz w:val="14"/>
        <w:szCs w:val="16"/>
      </w:rPr>
      <w:t>5</w:t>
    </w:r>
  </w:p>
  <w:p w14:paraId="0CF98B8E" w14:textId="77777777" w:rsidR="007457A0" w:rsidRDefault="007457A0" w:rsidP="007457A0">
    <w:pPr>
      <w:pStyle w:val="Footer"/>
      <w:jc w:val="center"/>
      <w:rPr>
        <w:rFonts w:ascii="Arial" w:hAnsi="Arial" w:cs="Arial"/>
        <w:color w:val="990000"/>
        <w:sz w:val="14"/>
        <w:szCs w:val="16"/>
      </w:rPr>
    </w:pPr>
    <w:r w:rsidRPr="003B40B4">
      <w:rPr>
        <w:rFonts w:ascii="Arial" w:hAnsi="Arial" w:cs="Arial"/>
        <w:color w:val="990000"/>
        <w:sz w:val="14"/>
        <w:szCs w:val="16"/>
      </w:rPr>
      <w:t>(480) 965-4995</w:t>
    </w:r>
    <w:r>
      <w:rPr>
        <w:rFonts w:ascii="Arial" w:hAnsi="Arial" w:cs="Arial"/>
        <w:color w:val="990000"/>
        <w:sz w:val="14"/>
        <w:szCs w:val="16"/>
      </w:rPr>
      <w:t xml:space="preserve"> Fax: (480) 965-0785</w:t>
    </w:r>
  </w:p>
  <w:p w14:paraId="5C6B8513" w14:textId="77777777" w:rsidR="007457A0" w:rsidRPr="003B40B4" w:rsidRDefault="007457A0" w:rsidP="007457A0">
    <w:pPr>
      <w:pStyle w:val="Footer"/>
      <w:jc w:val="center"/>
      <w:rPr>
        <w:rFonts w:ascii="Arial" w:hAnsi="Arial" w:cs="Arial"/>
        <w:sz w:val="20"/>
        <w:szCs w:val="16"/>
      </w:rPr>
    </w:pPr>
    <w:r>
      <w:rPr>
        <w:rFonts w:ascii="Arial" w:hAnsi="Arial" w:cs="Arial"/>
        <w:color w:val="990000"/>
        <w:sz w:val="14"/>
        <w:szCs w:val="16"/>
      </w:rPr>
      <w:t>https://provost.asu.edu/</w:t>
    </w:r>
  </w:p>
  <w:p w14:paraId="23DD167A" w14:textId="506E56E6" w:rsidR="007457A0" w:rsidRPr="007457A0" w:rsidRDefault="007457A0" w:rsidP="007457A0">
    <w:pPr>
      <w:pStyle w:val="Footer"/>
      <w:jc w:val="right"/>
      <w:rPr>
        <w:sz w:val="16"/>
      </w:rPr>
    </w:pPr>
    <w:r>
      <w:tab/>
    </w:r>
    <w:r>
      <w:tab/>
    </w:r>
    <w:r>
      <w:rPr>
        <w:sz w:val="16"/>
      </w:rPr>
      <w:fldChar w:fldCharType="begin"/>
    </w:r>
    <w:r>
      <w:rPr>
        <w:sz w:val="16"/>
      </w:rPr>
      <w:instrText xml:space="preserve"> DATE \@ "M/d/yyyy" </w:instrText>
    </w:r>
    <w:r>
      <w:rPr>
        <w:sz w:val="16"/>
      </w:rPr>
      <w:fldChar w:fldCharType="separate"/>
    </w:r>
    <w:r w:rsidR="00D37D91">
      <w:rPr>
        <w:noProof/>
        <w:sz w:val="16"/>
      </w:rPr>
      <w:t>11/27/2018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5696" w14:textId="77777777" w:rsidR="00577641" w:rsidRDefault="00577641" w:rsidP="00654018">
      <w:pPr>
        <w:spacing w:after="0" w:line="240" w:lineRule="auto"/>
      </w:pPr>
      <w:r>
        <w:separator/>
      </w:r>
    </w:p>
  </w:footnote>
  <w:footnote w:type="continuationSeparator" w:id="0">
    <w:p w14:paraId="5AA76B07" w14:textId="77777777" w:rsidR="00577641" w:rsidRDefault="00577641" w:rsidP="0065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A59B" w14:textId="77777777" w:rsidR="007457A0" w:rsidRDefault="007457A0">
    <w:pPr>
      <w:pStyle w:val="Header"/>
    </w:pPr>
    <w:r>
      <w:rPr>
        <w:noProof/>
      </w:rPr>
      <w:drawing>
        <wp:anchor distT="0" distB="0" distL="114300" distR="114300" simplePos="0" relativeHeight="251657728" behindDoc="1" locked="0" layoutInCell="1" allowOverlap="1" wp14:anchorId="6739D9B7" wp14:editId="316239DB">
          <wp:simplePos x="0" y="0"/>
          <wp:positionH relativeFrom="page">
            <wp:posOffset>19050</wp:posOffset>
          </wp:positionH>
          <wp:positionV relativeFrom="page">
            <wp:posOffset>19050</wp:posOffset>
          </wp:positionV>
          <wp:extent cx="7758268" cy="100401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ASD_Pg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268" cy="100401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0ADA" w14:textId="77777777" w:rsidR="00654018" w:rsidRDefault="007457A0" w:rsidP="00654018">
    <w:pPr>
      <w:pStyle w:val="Header"/>
      <w:jc w:val="center"/>
    </w:pPr>
    <w:r>
      <w:rPr>
        <w:noProof/>
      </w:rPr>
      <w:drawing>
        <wp:anchor distT="0" distB="0" distL="114300" distR="114300" simplePos="0" relativeHeight="251660800" behindDoc="1" locked="0" layoutInCell="1" allowOverlap="1" wp14:anchorId="205245CD" wp14:editId="0F4C88A4">
          <wp:simplePos x="0" y="0"/>
          <wp:positionH relativeFrom="page">
            <wp:posOffset>19050</wp:posOffset>
          </wp:positionH>
          <wp:positionV relativeFrom="page">
            <wp:posOffset>9525</wp:posOffset>
          </wp:positionV>
          <wp:extent cx="7758268" cy="100401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ASD_Pg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268" cy="100401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8E3B" w14:textId="77777777" w:rsidR="007457A0" w:rsidRDefault="007457A0" w:rsidP="007457A0">
    <w:pPr>
      <w:pStyle w:val="Header"/>
      <w:jc w:val="center"/>
    </w:pPr>
    <w:r>
      <w:rPr>
        <w:noProof/>
      </w:rPr>
      <w:drawing>
        <wp:inline distT="0" distB="0" distL="0" distR="0" wp14:anchorId="0622B3C7" wp14:editId="7C57959B">
          <wp:extent cx="1898650" cy="552450"/>
          <wp:effectExtent l="0" t="0" r="6350" b="0"/>
          <wp:docPr id="3" name="Picture 3"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C6F"/>
    <w:multiLevelType w:val="hybridMultilevel"/>
    <w:tmpl w:val="6136D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67614"/>
    <w:multiLevelType w:val="hybridMultilevel"/>
    <w:tmpl w:val="80F25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55D73"/>
    <w:multiLevelType w:val="hybridMultilevel"/>
    <w:tmpl w:val="A71C6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84109"/>
    <w:multiLevelType w:val="hybridMultilevel"/>
    <w:tmpl w:val="50C63628"/>
    <w:lvl w:ilvl="0" w:tplc="0C36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45F94"/>
    <w:multiLevelType w:val="hybridMultilevel"/>
    <w:tmpl w:val="013EE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F2BDB"/>
    <w:multiLevelType w:val="hybridMultilevel"/>
    <w:tmpl w:val="6082D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03BD3"/>
    <w:multiLevelType w:val="hybridMultilevel"/>
    <w:tmpl w:val="B3A8E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2D"/>
    <w:rsid w:val="00004FC5"/>
    <w:rsid w:val="00063180"/>
    <w:rsid w:val="000829DC"/>
    <w:rsid w:val="00091F20"/>
    <w:rsid w:val="00095AB6"/>
    <w:rsid w:val="000C1F63"/>
    <w:rsid w:val="000F0365"/>
    <w:rsid w:val="00111F57"/>
    <w:rsid w:val="00115A68"/>
    <w:rsid w:val="00134C20"/>
    <w:rsid w:val="00136C29"/>
    <w:rsid w:val="00146DB8"/>
    <w:rsid w:val="00154097"/>
    <w:rsid w:val="001B19B4"/>
    <w:rsid w:val="001C4CE8"/>
    <w:rsid w:val="001D6686"/>
    <w:rsid w:val="00267C29"/>
    <w:rsid w:val="00271030"/>
    <w:rsid w:val="00290689"/>
    <w:rsid w:val="00336268"/>
    <w:rsid w:val="00380164"/>
    <w:rsid w:val="003858D8"/>
    <w:rsid w:val="00394AFB"/>
    <w:rsid w:val="003B5463"/>
    <w:rsid w:val="003D2B8F"/>
    <w:rsid w:val="003D59EA"/>
    <w:rsid w:val="0041025C"/>
    <w:rsid w:val="0047271C"/>
    <w:rsid w:val="004849A5"/>
    <w:rsid w:val="00492FB4"/>
    <w:rsid w:val="004A43E7"/>
    <w:rsid w:val="004F771F"/>
    <w:rsid w:val="00543C59"/>
    <w:rsid w:val="00577641"/>
    <w:rsid w:val="005871A8"/>
    <w:rsid w:val="00595EB5"/>
    <w:rsid w:val="005A3D23"/>
    <w:rsid w:val="005A6960"/>
    <w:rsid w:val="005C1C67"/>
    <w:rsid w:val="005C66CE"/>
    <w:rsid w:val="005D45C2"/>
    <w:rsid w:val="005D75B8"/>
    <w:rsid w:val="005E0794"/>
    <w:rsid w:val="00654018"/>
    <w:rsid w:val="00675E44"/>
    <w:rsid w:val="00682C04"/>
    <w:rsid w:val="006D7F22"/>
    <w:rsid w:val="00710B8D"/>
    <w:rsid w:val="007141CA"/>
    <w:rsid w:val="00715BF6"/>
    <w:rsid w:val="007457A0"/>
    <w:rsid w:val="0076084F"/>
    <w:rsid w:val="0079786A"/>
    <w:rsid w:val="007A5969"/>
    <w:rsid w:val="007B006A"/>
    <w:rsid w:val="007B012B"/>
    <w:rsid w:val="007C43FC"/>
    <w:rsid w:val="007D64BA"/>
    <w:rsid w:val="007D679F"/>
    <w:rsid w:val="007E5753"/>
    <w:rsid w:val="007E79B3"/>
    <w:rsid w:val="007F41F3"/>
    <w:rsid w:val="00806508"/>
    <w:rsid w:val="0082624F"/>
    <w:rsid w:val="00844F63"/>
    <w:rsid w:val="00870283"/>
    <w:rsid w:val="00890131"/>
    <w:rsid w:val="00893CFA"/>
    <w:rsid w:val="008961BA"/>
    <w:rsid w:val="008A7939"/>
    <w:rsid w:val="008B100F"/>
    <w:rsid w:val="008B2F85"/>
    <w:rsid w:val="008D0129"/>
    <w:rsid w:val="008F4631"/>
    <w:rsid w:val="00940A81"/>
    <w:rsid w:val="00943AE2"/>
    <w:rsid w:val="00A37DC7"/>
    <w:rsid w:val="00A7437E"/>
    <w:rsid w:val="00AD5768"/>
    <w:rsid w:val="00B27F26"/>
    <w:rsid w:val="00B327D9"/>
    <w:rsid w:val="00B862BA"/>
    <w:rsid w:val="00BB7692"/>
    <w:rsid w:val="00BC474B"/>
    <w:rsid w:val="00BF13EA"/>
    <w:rsid w:val="00C06CA9"/>
    <w:rsid w:val="00C2421B"/>
    <w:rsid w:val="00C3732D"/>
    <w:rsid w:val="00C53820"/>
    <w:rsid w:val="00C67F08"/>
    <w:rsid w:val="00CD72AB"/>
    <w:rsid w:val="00CD7CB2"/>
    <w:rsid w:val="00CF7DF6"/>
    <w:rsid w:val="00D05F3A"/>
    <w:rsid w:val="00D16869"/>
    <w:rsid w:val="00D31323"/>
    <w:rsid w:val="00D36C3B"/>
    <w:rsid w:val="00D37BD9"/>
    <w:rsid w:val="00D37D91"/>
    <w:rsid w:val="00D54ED5"/>
    <w:rsid w:val="00D6617C"/>
    <w:rsid w:val="00D6781E"/>
    <w:rsid w:val="00DB348E"/>
    <w:rsid w:val="00DB5093"/>
    <w:rsid w:val="00E21D8A"/>
    <w:rsid w:val="00E31722"/>
    <w:rsid w:val="00E369F5"/>
    <w:rsid w:val="00E43671"/>
    <w:rsid w:val="00E43A25"/>
    <w:rsid w:val="00E92BD5"/>
    <w:rsid w:val="00F138E6"/>
    <w:rsid w:val="00F3214F"/>
    <w:rsid w:val="00F400BF"/>
    <w:rsid w:val="00F87086"/>
    <w:rsid w:val="00F87ACE"/>
    <w:rsid w:val="00F90739"/>
    <w:rsid w:val="00F91E6F"/>
    <w:rsid w:val="00FC20C2"/>
    <w:rsid w:val="00FD049D"/>
    <w:rsid w:val="00FD2AF8"/>
    <w:rsid w:val="00FD35F8"/>
    <w:rsid w:val="00FE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363FA"/>
  <w15:docId w15:val="{3D7C9C8E-E243-48A4-9464-1C00319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32D"/>
    <w:pPr>
      <w:ind w:left="720"/>
      <w:contextualSpacing/>
    </w:pPr>
  </w:style>
  <w:style w:type="paragraph" w:styleId="Header">
    <w:name w:val="header"/>
    <w:basedOn w:val="Normal"/>
    <w:link w:val="HeaderChar"/>
    <w:uiPriority w:val="99"/>
    <w:unhideWhenUsed/>
    <w:rsid w:val="0065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018"/>
  </w:style>
  <w:style w:type="paragraph" w:styleId="Footer">
    <w:name w:val="footer"/>
    <w:basedOn w:val="Normal"/>
    <w:link w:val="FooterChar"/>
    <w:uiPriority w:val="99"/>
    <w:unhideWhenUsed/>
    <w:rsid w:val="0065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018"/>
  </w:style>
  <w:style w:type="paragraph" w:styleId="BalloonText">
    <w:name w:val="Balloon Text"/>
    <w:basedOn w:val="Normal"/>
    <w:link w:val="BalloonTextChar"/>
    <w:uiPriority w:val="99"/>
    <w:semiHidden/>
    <w:unhideWhenUsed/>
    <w:rsid w:val="0065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18"/>
    <w:rPr>
      <w:rFonts w:ascii="Tahoma" w:hAnsi="Tahoma" w:cs="Tahoma"/>
      <w:sz w:val="16"/>
      <w:szCs w:val="16"/>
    </w:rPr>
  </w:style>
  <w:style w:type="paragraph" w:customStyle="1" w:styleId="Default">
    <w:name w:val="Default"/>
    <w:rsid w:val="007457A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45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372B99FBF4B4BA4B08DABFCC7E0D1" ma:contentTypeVersion="10" ma:contentTypeDescription="Create a new document." ma:contentTypeScope="" ma:versionID="231410e030e8fda17c135e736c8e9374">
  <xsd:schema xmlns:xsd="http://www.w3.org/2001/XMLSchema" xmlns:xs="http://www.w3.org/2001/XMLSchema" xmlns:p="http://schemas.microsoft.com/office/2006/metadata/properties" xmlns:ns2="34e87343-86fb-4272-ac8c-74c7f1d5133b" xmlns:ns3="97777203-5cdb-4e9f-8388-daa97a0d17e4" targetNamespace="http://schemas.microsoft.com/office/2006/metadata/properties" ma:root="true" ma:fieldsID="115ba97102e77c25bdbf43544c611b9e" ns2:_="" ns3:_="">
    <xsd:import namespace="34e87343-86fb-4272-ac8c-74c7f1d5133b"/>
    <xsd:import namespace="97777203-5cdb-4e9f-8388-daa97a0d17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7343-86fb-4272-ac8c-74c7f1d51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F581-72B9-49E9-9789-BC766B070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7343-86fb-4272-ac8c-74c7f1d5133b"/>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AE9A2-C066-4B9F-9876-46D7F3F2CE17}">
  <ds:schemaRefs>
    <ds:schemaRef ds:uri="http://schemas.microsoft.com/sharepoint/v3/contenttype/forms"/>
  </ds:schemaRefs>
</ds:datastoreItem>
</file>

<file path=customXml/itemProps3.xml><?xml version="1.0" encoding="utf-8"?>
<ds:datastoreItem xmlns:ds="http://schemas.openxmlformats.org/officeDocument/2006/customXml" ds:itemID="{E959F15C-820B-4C60-98DF-AB68878AF2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C63A31-4FAF-4CE3-AEEB-7BD98667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dc:creator>
  <cp:lastModifiedBy>Katherine Sackman</cp:lastModifiedBy>
  <cp:revision>2</cp:revision>
  <cp:lastPrinted>2016-11-08T18:23:00Z</cp:lastPrinted>
  <dcterms:created xsi:type="dcterms:W3CDTF">2018-11-27T18:21:00Z</dcterms:created>
  <dcterms:modified xsi:type="dcterms:W3CDTF">2018-11-27T18:21:00Z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0x010100E1D372B99FBF4B4BA4B08DABFCC7E0D1</vt:lpwstr>
  </property>
</Properties>
</file>