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0" w:type="dxa"/>
        <w:tblLayout w:type="fixed"/>
        <w:tblCellMar>
          <w:left w:w="0" w:type="dxa"/>
          <w:right w:w="0" w:type="dxa"/>
        </w:tblCellMar>
        <w:tblLook w:val="0000" w:firstRow="0" w:lastRow="0" w:firstColumn="0" w:lastColumn="0" w:noHBand="0" w:noVBand="0"/>
      </w:tblPr>
      <w:tblGrid>
        <w:gridCol w:w="2066"/>
        <w:gridCol w:w="1980"/>
        <w:gridCol w:w="5304"/>
      </w:tblGrid>
      <w:tr w:rsidR="007D1DD1" w:rsidRPr="007D1DD1">
        <w:trPr>
          <w:trHeight w:val="268"/>
        </w:trPr>
        <w:tc>
          <w:tcPr>
            <w:tcW w:w="2066" w:type="dxa"/>
            <w:tcBorders>
              <w:top w:val="single" w:sz="4" w:space="0" w:color="000000"/>
              <w:left w:val="single" w:sz="4" w:space="0" w:color="000000"/>
              <w:bottom w:val="single" w:sz="4" w:space="0" w:color="000000"/>
              <w:right w:val="single" w:sz="4" w:space="0" w:color="000000"/>
            </w:tcBorders>
          </w:tcPr>
          <w:p w:rsidR="007D1DD1" w:rsidRPr="007D1DD1" w:rsidRDefault="007D1DD1" w:rsidP="007D1DD1">
            <w:pPr>
              <w:kinsoku w:val="0"/>
              <w:overflowPunct w:val="0"/>
              <w:autoSpaceDE w:val="0"/>
              <w:autoSpaceDN w:val="0"/>
              <w:adjustRightInd w:val="0"/>
              <w:spacing w:after="0" w:line="248" w:lineRule="exact"/>
              <w:ind w:left="107"/>
              <w:rPr>
                <w:rFonts w:ascii="Calibri" w:hAnsi="Calibri" w:cs="Calibri"/>
                <w:b/>
                <w:bCs/>
              </w:rPr>
            </w:pPr>
            <w:r w:rsidRPr="007D1DD1">
              <w:rPr>
                <w:rFonts w:ascii="Calibri" w:hAnsi="Calibri" w:cs="Calibri"/>
                <w:b/>
                <w:bCs/>
              </w:rPr>
              <w:t>College</w:t>
            </w:r>
          </w:p>
        </w:tc>
        <w:tc>
          <w:tcPr>
            <w:tcW w:w="7284" w:type="dxa"/>
            <w:gridSpan w:val="2"/>
            <w:tcBorders>
              <w:top w:val="single" w:sz="4" w:space="0" w:color="000000"/>
              <w:left w:val="single" w:sz="4" w:space="0" w:color="000000"/>
              <w:bottom w:val="single" w:sz="4" w:space="0" w:color="000000"/>
              <w:right w:val="single" w:sz="4" w:space="0" w:color="000000"/>
            </w:tcBorders>
          </w:tcPr>
          <w:p w:rsidR="007D1DD1" w:rsidRPr="007D1DD1" w:rsidRDefault="007D1DD1" w:rsidP="007D1DD1">
            <w:pPr>
              <w:kinsoku w:val="0"/>
              <w:overflowPunct w:val="0"/>
              <w:autoSpaceDE w:val="0"/>
              <w:autoSpaceDN w:val="0"/>
              <w:adjustRightInd w:val="0"/>
              <w:spacing w:after="0" w:line="248" w:lineRule="exact"/>
              <w:ind w:left="105"/>
              <w:rPr>
                <w:rFonts w:ascii="Calibri" w:hAnsi="Calibri" w:cs="Calibri"/>
              </w:rPr>
            </w:pPr>
            <w:r w:rsidRPr="007D1DD1">
              <w:rPr>
                <w:rFonts w:ascii="Calibri" w:hAnsi="Calibri" w:cs="Calibri"/>
              </w:rPr>
              <w:t>Watts College of Public Service and Community Solutions</w:t>
            </w:r>
          </w:p>
        </w:tc>
      </w:tr>
      <w:tr w:rsidR="007D1DD1" w:rsidRPr="007D1DD1">
        <w:trPr>
          <w:trHeight w:val="268"/>
        </w:trPr>
        <w:tc>
          <w:tcPr>
            <w:tcW w:w="2066" w:type="dxa"/>
            <w:tcBorders>
              <w:top w:val="single" w:sz="4" w:space="0" w:color="000000"/>
              <w:left w:val="single" w:sz="4" w:space="0" w:color="000000"/>
              <w:bottom w:val="single" w:sz="4" w:space="0" w:color="000000"/>
              <w:right w:val="single" w:sz="4" w:space="0" w:color="000000"/>
            </w:tcBorders>
          </w:tcPr>
          <w:p w:rsidR="007D1DD1" w:rsidRPr="007D1DD1" w:rsidRDefault="007D1DD1" w:rsidP="007D1DD1">
            <w:pPr>
              <w:kinsoku w:val="0"/>
              <w:overflowPunct w:val="0"/>
              <w:autoSpaceDE w:val="0"/>
              <w:autoSpaceDN w:val="0"/>
              <w:adjustRightInd w:val="0"/>
              <w:spacing w:after="0" w:line="248" w:lineRule="exact"/>
              <w:ind w:left="107"/>
              <w:rPr>
                <w:rFonts w:ascii="Calibri" w:hAnsi="Calibri" w:cs="Calibri"/>
                <w:b/>
                <w:bCs/>
              </w:rPr>
            </w:pPr>
            <w:r w:rsidRPr="007D1DD1">
              <w:rPr>
                <w:rFonts w:ascii="Calibri" w:hAnsi="Calibri" w:cs="Calibri"/>
                <w:b/>
                <w:bCs/>
              </w:rPr>
              <w:t>Unit</w:t>
            </w:r>
          </w:p>
        </w:tc>
        <w:tc>
          <w:tcPr>
            <w:tcW w:w="7284" w:type="dxa"/>
            <w:gridSpan w:val="2"/>
            <w:tcBorders>
              <w:top w:val="single" w:sz="4" w:space="0" w:color="000000"/>
              <w:left w:val="single" w:sz="4" w:space="0" w:color="000000"/>
              <w:bottom w:val="single" w:sz="4" w:space="0" w:color="000000"/>
              <w:right w:val="single" w:sz="4" w:space="0" w:color="000000"/>
            </w:tcBorders>
          </w:tcPr>
          <w:p w:rsidR="007D1DD1" w:rsidRPr="007D1DD1" w:rsidRDefault="007D1DD1" w:rsidP="007D1DD1">
            <w:pPr>
              <w:kinsoku w:val="0"/>
              <w:overflowPunct w:val="0"/>
              <w:autoSpaceDE w:val="0"/>
              <w:autoSpaceDN w:val="0"/>
              <w:adjustRightInd w:val="0"/>
              <w:spacing w:after="0" w:line="248" w:lineRule="exact"/>
              <w:ind w:left="105"/>
              <w:rPr>
                <w:rFonts w:ascii="Calibri" w:hAnsi="Calibri" w:cs="Calibri"/>
              </w:rPr>
            </w:pPr>
            <w:r w:rsidRPr="007D1DD1">
              <w:rPr>
                <w:rFonts w:ascii="Calibri" w:hAnsi="Calibri" w:cs="Calibri"/>
              </w:rPr>
              <w:t>School of Criminology and Criminal Justice</w:t>
            </w:r>
          </w:p>
        </w:tc>
      </w:tr>
      <w:tr w:rsidR="007D1DD1" w:rsidRPr="007D1DD1">
        <w:trPr>
          <w:trHeight w:val="270"/>
        </w:trPr>
        <w:tc>
          <w:tcPr>
            <w:tcW w:w="2066" w:type="dxa"/>
            <w:tcBorders>
              <w:top w:val="single" w:sz="4" w:space="0" w:color="000000"/>
              <w:left w:val="single" w:sz="4" w:space="0" w:color="000000"/>
              <w:bottom w:val="single" w:sz="4" w:space="0" w:color="000000"/>
              <w:right w:val="single" w:sz="4" w:space="0" w:color="000000"/>
            </w:tcBorders>
          </w:tcPr>
          <w:p w:rsidR="007D1DD1" w:rsidRPr="007D1DD1" w:rsidRDefault="007D1DD1" w:rsidP="007D1DD1">
            <w:pPr>
              <w:kinsoku w:val="0"/>
              <w:overflowPunct w:val="0"/>
              <w:autoSpaceDE w:val="0"/>
              <w:autoSpaceDN w:val="0"/>
              <w:adjustRightInd w:val="0"/>
              <w:spacing w:before="1" w:after="0" w:line="249" w:lineRule="exact"/>
              <w:ind w:left="107"/>
              <w:rPr>
                <w:rFonts w:ascii="Calibri" w:hAnsi="Calibri" w:cs="Calibri"/>
                <w:b/>
                <w:bCs/>
              </w:rPr>
            </w:pPr>
            <w:r w:rsidRPr="007D1DD1">
              <w:rPr>
                <w:rFonts w:ascii="Calibri" w:hAnsi="Calibri" w:cs="Calibri"/>
                <w:b/>
                <w:bCs/>
              </w:rPr>
              <w:t>Document</w:t>
            </w:r>
          </w:p>
        </w:tc>
        <w:tc>
          <w:tcPr>
            <w:tcW w:w="7284" w:type="dxa"/>
            <w:gridSpan w:val="2"/>
            <w:tcBorders>
              <w:top w:val="single" w:sz="4" w:space="0" w:color="000000"/>
              <w:left w:val="single" w:sz="4" w:space="0" w:color="000000"/>
              <w:bottom w:val="single" w:sz="4" w:space="0" w:color="000000"/>
              <w:right w:val="single" w:sz="4" w:space="0" w:color="000000"/>
            </w:tcBorders>
          </w:tcPr>
          <w:p w:rsidR="007D1DD1" w:rsidRPr="007D1DD1" w:rsidRDefault="00366842" w:rsidP="007D1DD1">
            <w:pPr>
              <w:kinsoku w:val="0"/>
              <w:overflowPunct w:val="0"/>
              <w:autoSpaceDE w:val="0"/>
              <w:autoSpaceDN w:val="0"/>
              <w:adjustRightInd w:val="0"/>
              <w:spacing w:before="1" w:after="0" w:line="249" w:lineRule="exact"/>
              <w:ind w:left="105"/>
              <w:rPr>
                <w:rFonts w:ascii="Calibri" w:hAnsi="Calibri" w:cs="Calibri"/>
              </w:rPr>
            </w:pPr>
            <w:r>
              <w:rPr>
                <w:rFonts w:ascii="Calibri" w:hAnsi="Calibri" w:cs="Calibri"/>
              </w:rPr>
              <w:t xml:space="preserve">Tenured/Tenure-Track </w:t>
            </w:r>
            <w:r w:rsidR="007D1DD1" w:rsidRPr="007D1DD1">
              <w:rPr>
                <w:rFonts w:ascii="Calibri" w:hAnsi="Calibri" w:cs="Calibri"/>
              </w:rPr>
              <w:t>Faculty Annual Performance Review Policy</w:t>
            </w:r>
          </w:p>
        </w:tc>
      </w:tr>
      <w:tr w:rsidR="007D1DD1" w:rsidRPr="007D1DD1">
        <w:trPr>
          <w:trHeight w:val="268"/>
        </w:trPr>
        <w:tc>
          <w:tcPr>
            <w:tcW w:w="2066" w:type="dxa"/>
            <w:tcBorders>
              <w:top w:val="single" w:sz="4" w:space="0" w:color="000000"/>
              <w:left w:val="single" w:sz="4" w:space="0" w:color="000000"/>
              <w:bottom w:val="single" w:sz="4" w:space="0" w:color="000000"/>
              <w:right w:val="single" w:sz="4" w:space="0" w:color="000000"/>
            </w:tcBorders>
          </w:tcPr>
          <w:p w:rsidR="007D1DD1" w:rsidRPr="007D1DD1" w:rsidRDefault="007D1DD1" w:rsidP="007D1DD1">
            <w:pPr>
              <w:kinsoku w:val="0"/>
              <w:overflowPunct w:val="0"/>
              <w:autoSpaceDE w:val="0"/>
              <w:autoSpaceDN w:val="0"/>
              <w:adjustRightInd w:val="0"/>
              <w:spacing w:after="0" w:line="248" w:lineRule="exact"/>
              <w:ind w:left="107"/>
              <w:rPr>
                <w:rFonts w:ascii="Calibri" w:hAnsi="Calibri" w:cs="Calibri"/>
                <w:b/>
                <w:bCs/>
              </w:rPr>
            </w:pPr>
            <w:r w:rsidRPr="007D1DD1">
              <w:rPr>
                <w:rFonts w:ascii="Calibri" w:hAnsi="Calibri" w:cs="Calibri"/>
                <w:b/>
                <w:bCs/>
              </w:rPr>
              <w:t>Approved by faculty</w:t>
            </w:r>
          </w:p>
        </w:tc>
        <w:tc>
          <w:tcPr>
            <w:tcW w:w="1980" w:type="dxa"/>
            <w:tcBorders>
              <w:top w:val="single" w:sz="4" w:space="0" w:color="000000"/>
              <w:left w:val="single" w:sz="4" w:space="0" w:color="000000"/>
              <w:bottom w:val="single" w:sz="4" w:space="0" w:color="000000"/>
              <w:right w:val="single" w:sz="4" w:space="0" w:color="000000"/>
            </w:tcBorders>
          </w:tcPr>
          <w:p w:rsidR="007D1DD1" w:rsidRPr="007D1DD1" w:rsidRDefault="007D1DD1" w:rsidP="007D1DD1">
            <w:pPr>
              <w:kinsoku w:val="0"/>
              <w:overflowPunct w:val="0"/>
              <w:autoSpaceDE w:val="0"/>
              <w:autoSpaceDN w:val="0"/>
              <w:adjustRightInd w:val="0"/>
              <w:spacing w:after="0" w:line="248" w:lineRule="exact"/>
              <w:ind w:left="105"/>
              <w:rPr>
                <w:rFonts w:ascii="Calibri" w:hAnsi="Calibri" w:cs="Calibri"/>
              </w:rPr>
            </w:pPr>
            <w:r w:rsidRPr="007D1DD1">
              <w:rPr>
                <w:rFonts w:ascii="Calibri" w:hAnsi="Calibri" w:cs="Calibri"/>
              </w:rPr>
              <w:t>yes</w:t>
            </w:r>
          </w:p>
        </w:tc>
        <w:tc>
          <w:tcPr>
            <w:tcW w:w="5304" w:type="dxa"/>
            <w:tcBorders>
              <w:top w:val="single" w:sz="4" w:space="0" w:color="000000"/>
              <w:left w:val="single" w:sz="4" w:space="0" w:color="000000"/>
              <w:bottom w:val="single" w:sz="4" w:space="0" w:color="000000"/>
              <w:right w:val="single" w:sz="4" w:space="0" w:color="000000"/>
            </w:tcBorders>
          </w:tcPr>
          <w:p w:rsidR="007D1DD1" w:rsidRPr="007D1DD1" w:rsidRDefault="007D1DD1" w:rsidP="007D1DD1">
            <w:pPr>
              <w:kinsoku w:val="0"/>
              <w:overflowPunct w:val="0"/>
              <w:autoSpaceDE w:val="0"/>
              <w:autoSpaceDN w:val="0"/>
              <w:adjustRightInd w:val="0"/>
              <w:spacing w:after="0" w:line="248" w:lineRule="exact"/>
              <w:ind w:left="105"/>
              <w:rPr>
                <w:rFonts w:ascii="Calibri" w:hAnsi="Calibri" w:cs="Calibri"/>
                <w:b/>
                <w:bCs/>
              </w:rPr>
            </w:pPr>
            <w:r w:rsidRPr="007D1DD1">
              <w:rPr>
                <w:rFonts w:ascii="Calibri" w:hAnsi="Calibri" w:cs="Calibri"/>
                <w:b/>
                <w:bCs/>
              </w:rPr>
              <w:t>Date: May 7, 2021</w:t>
            </w:r>
          </w:p>
        </w:tc>
      </w:tr>
      <w:tr w:rsidR="007D1DD1" w:rsidRPr="007D1DD1">
        <w:trPr>
          <w:trHeight w:val="268"/>
        </w:trPr>
        <w:tc>
          <w:tcPr>
            <w:tcW w:w="2066" w:type="dxa"/>
            <w:tcBorders>
              <w:top w:val="single" w:sz="4" w:space="0" w:color="000000"/>
              <w:left w:val="single" w:sz="4" w:space="0" w:color="000000"/>
              <w:bottom w:val="single" w:sz="4" w:space="0" w:color="000000"/>
              <w:right w:val="single" w:sz="4" w:space="0" w:color="000000"/>
            </w:tcBorders>
          </w:tcPr>
          <w:p w:rsidR="007D1DD1" w:rsidRPr="007D1DD1" w:rsidRDefault="007D1DD1" w:rsidP="007D1DD1">
            <w:pPr>
              <w:kinsoku w:val="0"/>
              <w:overflowPunct w:val="0"/>
              <w:autoSpaceDE w:val="0"/>
              <w:autoSpaceDN w:val="0"/>
              <w:adjustRightInd w:val="0"/>
              <w:spacing w:after="0" w:line="248" w:lineRule="exact"/>
              <w:ind w:left="107"/>
              <w:rPr>
                <w:rFonts w:ascii="Calibri" w:hAnsi="Calibri" w:cs="Calibri"/>
                <w:b/>
                <w:bCs/>
              </w:rPr>
            </w:pPr>
            <w:r w:rsidRPr="007D1DD1">
              <w:rPr>
                <w:rFonts w:ascii="Calibri" w:hAnsi="Calibri" w:cs="Calibri"/>
                <w:b/>
                <w:bCs/>
              </w:rPr>
              <w:t>Reviewed by Dean</w:t>
            </w:r>
          </w:p>
        </w:tc>
        <w:tc>
          <w:tcPr>
            <w:tcW w:w="1980" w:type="dxa"/>
            <w:tcBorders>
              <w:top w:val="single" w:sz="4" w:space="0" w:color="000000"/>
              <w:left w:val="single" w:sz="4" w:space="0" w:color="000000"/>
              <w:bottom w:val="single" w:sz="4" w:space="0" w:color="000000"/>
              <w:right w:val="single" w:sz="4" w:space="0" w:color="000000"/>
            </w:tcBorders>
          </w:tcPr>
          <w:p w:rsidR="007D1DD1" w:rsidRPr="007D1DD1" w:rsidRDefault="003C68CA" w:rsidP="007D1DD1">
            <w:pPr>
              <w:kinsoku w:val="0"/>
              <w:overflowPunct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304" w:type="dxa"/>
            <w:tcBorders>
              <w:top w:val="single" w:sz="4" w:space="0" w:color="000000"/>
              <w:left w:val="single" w:sz="4" w:space="0" w:color="000000"/>
              <w:bottom w:val="single" w:sz="4" w:space="0" w:color="000000"/>
              <w:right w:val="single" w:sz="4" w:space="0" w:color="000000"/>
            </w:tcBorders>
          </w:tcPr>
          <w:p w:rsidR="007D1DD1" w:rsidRPr="007D1DD1" w:rsidRDefault="007D1DD1" w:rsidP="007D1DD1">
            <w:pPr>
              <w:kinsoku w:val="0"/>
              <w:overflowPunct w:val="0"/>
              <w:autoSpaceDE w:val="0"/>
              <w:autoSpaceDN w:val="0"/>
              <w:adjustRightInd w:val="0"/>
              <w:spacing w:after="0" w:line="248" w:lineRule="exact"/>
              <w:ind w:left="105"/>
              <w:rPr>
                <w:rFonts w:ascii="Calibri" w:hAnsi="Calibri" w:cs="Calibri"/>
                <w:b/>
                <w:bCs/>
              </w:rPr>
            </w:pPr>
            <w:r w:rsidRPr="007D1DD1">
              <w:rPr>
                <w:rFonts w:ascii="Calibri" w:hAnsi="Calibri" w:cs="Calibri"/>
                <w:b/>
                <w:bCs/>
              </w:rPr>
              <w:t>Date:</w:t>
            </w:r>
            <w:r w:rsidR="003C68CA">
              <w:rPr>
                <w:rFonts w:ascii="Calibri" w:hAnsi="Calibri" w:cs="Calibri"/>
                <w:b/>
                <w:bCs/>
              </w:rPr>
              <w:t xml:space="preserve"> July 30, 2021</w:t>
            </w:r>
          </w:p>
        </w:tc>
      </w:tr>
    </w:tbl>
    <w:p w:rsidR="007D1DD1" w:rsidRPr="007D1DD1" w:rsidRDefault="007D1DD1" w:rsidP="007D1DD1">
      <w:pPr>
        <w:kinsoku w:val="0"/>
        <w:overflowPunct w:val="0"/>
        <w:autoSpaceDE w:val="0"/>
        <w:autoSpaceDN w:val="0"/>
        <w:adjustRightInd w:val="0"/>
        <w:spacing w:after="0" w:line="240" w:lineRule="auto"/>
        <w:rPr>
          <w:rFonts w:ascii="Times New Roman" w:hAnsi="Times New Roman" w:cs="Times New Roman"/>
          <w:sz w:val="20"/>
          <w:szCs w:val="20"/>
        </w:rPr>
      </w:pPr>
    </w:p>
    <w:p w:rsidR="007D1DD1" w:rsidRPr="007D1DD1" w:rsidRDefault="007D1DD1" w:rsidP="007D1DD1">
      <w:pPr>
        <w:kinsoku w:val="0"/>
        <w:overflowPunct w:val="0"/>
        <w:autoSpaceDE w:val="0"/>
        <w:autoSpaceDN w:val="0"/>
        <w:adjustRightInd w:val="0"/>
        <w:spacing w:before="17" w:after="0" w:line="240" w:lineRule="auto"/>
        <w:ind w:left="34"/>
        <w:rPr>
          <w:rFonts w:ascii="Calibri" w:hAnsi="Calibri" w:cs="Calibri"/>
          <w:b/>
          <w:bCs/>
        </w:rPr>
      </w:pPr>
      <w:r w:rsidRPr="007D1DD1">
        <w:rPr>
          <w:rFonts w:ascii="Calibri" w:hAnsi="Calibri" w:cs="Calibri"/>
          <w:b/>
          <w:bCs/>
        </w:rPr>
        <w:t>Provost office approval:</w:t>
      </w:r>
    </w:p>
    <w:p w:rsidR="007D1DD1" w:rsidRPr="007D1DD1" w:rsidRDefault="007D1DD1" w:rsidP="007D1DD1">
      <w:pPr>
        <w:kinsoku w:val="0"/>
        <w:overflowPunct w:val="0"/>
        <w:autoSpaceDE w:val="0"/>
        <w:autoSpaceDN w:val="0"/>
        <w:adjustRightInd w:val="0"/>
        <w:spacing w:before="10" w:after="0" w:line="240" w:lineRule="auto"/>
        <w:rPr>
          <w:rFonts w:ascii="Calibri" w:hAnsi="Calibri" w:cs="Calibri"/>
          <w:b/>
          <w:bCs/>
          <w:sz w:val="14"/>
          <w:szCs w:val="14"/>
        </w:rPr>
      </w:pPr>
    </w:p>
    <w:tbl>
      <w:tblPr>
        <w:tblW w:w="0" w:type="auto"/>
        <w:tblInd w:w="100" w:type="dxa"/>
        <w:tblLayout w:type="fixed"/>
        <w:tblCellMar>
          <w:left w:w="0" w:type="dxa"/>
          <w:right w:w="0" w:type="dxa"/>
        </w:tblCellMar>
        <w:tblLook w:val="0000" w:firstRow="0" w:lastRow="0" w:firstColumn="0" w:lastColumn="0" w:noHBand="0" w:noVBand="0"/>
      </w:tblPr>
      <w:tblGrid>
        <w:gridCol w:w="6475"/>
        <w:gridCol w:w="2875"/>
      </w:tblGrid>
      <w:tr w:rsidR="007D1DD1" w:rsidRPr="007D1DD1">
        <w:trPr>
          <w:trHeight w:val="268"/>
        </w:trPr>
        <w:tc>
          <w:tcPr>
            <w:tcW w:w="6475" w:type="dxa"/>
            <w:tcBorders>
              <w:top w:val="single" w:sz="4" w:space="0" w:color="000000"/>
              <w:left w:val="single" w:sz="4" w:space="0" w:color="000000"/>
              <w:bottom w:val="single" w:sz="4" w:space="0" w:color="000000"/>
              <w:right w:val="single" w:sz="4" w:space="0" w:color="000000"/>
            </w:tcBorders>
          </w:tcPr>
          <w:p w:rsidR="007D1DD1" w:rsidRPr="007D1DD1" w:rsidRDefault="007D1DD1" w:rsidP="007D1DD1">
            <w:pPr>
              <w:kinsoku w:val="0"/>
              <w:overflowPunct w:val="0"/>
              <w:autoSpaceDE w:val="0"/>
              <w:autoSpaceDN w:val="0"/>
              <w:adjustRightInd w:val="0"/>
              <w:spacing w:after="0" w:line="240" w:lineRule="auto"/>
              <w:rPr>
                <w:rFonts w:ascii="Times New Roman" w:hAnsi="Times New Roman" w:cs="Times New Roman"/>
                <w:sz w:val="18"/>
                <w:szCs w:val="18"/>
              </w:rPr>
            </w:pPr>
          </w:p>
        </w:tc>
        <w:tc>
          <w:tcPr>
            <w:tcW w:w="2875" w:type="dxa"/>
            <w:tcBorders>
              <w:top w:val="single" w:sz="4" w:space="0" w:color="000000"/>
              <w:left w:val="single" w:sz="4" w:space="0" w:color="000000"/>
              <w:bottom w:val="single" w:sz="4" w:space="0" w:color="000000"/>
              <w:right w:val="single" w:sz="4" w:space="0" w:color="000000"/>
            </w:tcBorders>
          </w:tcPr>
          <w:p w:rsidR="007D1DD1" w:rsidRPr="007D1DD1" w:rsidRDefault="007D1DD1" w:rsidP="007D1DD1">
            <w:pPr>
              <w:kinsoku w:val="0"/>
              <w:overflowPunct w:val="0"/>
              <w:autoSpaceDE w:val="0"/>
              <w:autoSpaceDN w:val="0"/>
              <w:adjustRightInd w:val="0"/>
              <w:spacing w:after="0" w:line="240" w:lineRule="auto"/>
              <w:rPr>
                <w:rFonts w:ascii="Times New Roman" w:hAnsi="Times New Roman" w:cs="Times New Roman"/>
                <w:sz w:val="18"/>
                <w:szCs w:val="18"/>
              </w:rPr>
            </w:pPr>
          </w:p>
        </w:tc>
      </w:tr>
      <w:tr w:rsidR="007D1DD1" w:rsidRPr="007D1DD1">
        <w:trPr>
          <w:trHeight w:val="268"/>
        </w:trPr>
        <w:tc>
          <w:tcPr>
            <w:tcW w:w="6475" w:type="dxa"/>
            <w:tcBorders>
              <w:top w:val="single" w:sz="4" w:space="0" w:color="000000"/>
              <w:left w:val="single" w:sz="4" w:space="0" w:color="000000"/>
              <w:bottom w:val="single" w:sz="4" w:space="0" w:color="000000"/>
              <w:right w:val="single" w:sz="4" w:space="0" w:color="000000"/>
            </w:tcBorders>
          </w:tcPr>
          <w:p w:rsidR="007D1DD1" w:rsidRPr="007D1DD1" w:rsidRDefault="007D1DD1" w:rsidP="007D1DD1">
            <w:pPr>
              <w:kinsoku w:val="0"/>
              <w:overflowPunct w:val="0"/>
              <w:autoSpaceDE w:val="0"/>
              <w:autoSpaceDN w:val="0"/>
              <w:adjustRightInd w:val="0"/>
              <w:spacing w:after="0" w:line="248" w:lineRule="exact"/>
              <w:ind w:left="107"/>
              <w:rPr>
                <w:rFonts w:ascii="Calibri" w:hAnsi="Calibri" w:cs="Calibri"/>
                <w:b/>
                <w:bCs/>
              </w:rPr>
            </w:pPr>
            <w:r w:rsidRPr="007D1DD1">
              <w:rPr>
                <w:rFonts w:ascii="Calibri" w:hAnsi="Calibri" w:cs="Calibri"/>
                <w:b/>
                <w:bCs/>
              </w:rPr>
              <w:t>Deborah Clarke, Vice Provost for Academic Personnel</w:t>
            </w:r>
          </w:p>
        </w:tc>
        <w:tc>
          <w:tcPr>
            <w:tcW w:w="2875" w:type="dxa"/>
            <w:tcBorders>
              <w:top w:val="single" w:sz="4" w:space="0" w:color="000000"/>
              <w:left w:val="single" w:sz="4" w:space="0" w:color="000000"/>
              <w:bottom w:val="single" w:sz="4" w:space="0" w:color="000000"/>
              <w:right w:val="single" w:sz="4" w:space="0" w:color="000000"/>
            </w:tcBorders>
          </w:tcPr>
          <w:p w:rsidR="007D1DD1" w:rsidRPr="007D1DD1" w:rsidRDefault="007D1DD1" w:rsidP="007D1DD1">
            <w:pPr>
              <w:kinsoku w:val="0"/>
              <w:overflowPunct w:val="0"/>
              <w:autoSpaceDE w:val="0"/>
              <w:autoSpaceDN w:val="0"/>
              <w:adjustRightInd w:val="0"/>
              <w:spacing w:after="0" w:line="248" w:lineRule="exact"/>
              <w:ind w:left="107"/>
              <w:rPr>
                <w:rFonts w:ascii="Calibri" w:hAnsi="Calibri" w:cs="Calibri"/>
                <w:b/>
                <w:bCs/>
              </w:rPr>
            </w:pPr>
            <w:r w:rsidRPr="007D1DD1">
              <w:rPr>
                <w:rFonts w:ascii="Calibri" w:hAnsi="Calibri" w:cs="Calibri"/>
                <w:b/>
                <w:bCs/>
              </w:rPr>
              <w:t>Date</w:t>
            </w:r>
          </w:p>
        </w:tc>
      </w:tr>
    </w:tbl>
    <w:p w:rsidR="007D1DD1" w:rsidRDefault="007D1DD1" w:rsidP="003E298C">
      <w:pPr>
        <w:spacing w:after="0" w:line="264" w:lineRule="auto"/>
        <w:jc w:val="center"/>
        <w:rPr>
          <w:rFonts w:ascii="Times New Roman" w:hAnsi="Times New Roman" w:cs="Times New Roman"/>
          <w:b/>
          <w:bCs/>
          <w:sz w:val="24"/>
          <w:szCs w:val="24"/>
        </w:rPr>
      </w:pPr>
    </w:p>
    <w:p w:rsidR="007D1DD1" w:rsidRDefault="007D1DD1" w:rsidP="003E298C">
      <w:pPr>
        <w:spacing w:after="0" w:line="264" w:lineRule="auto"/>
        <w:jc w:val="center"/>
        <w:rPr>
          <w:rFonts w:ascii="Times New Roman" w:hAnsi="Times New Roman" w:cs="Times New Roman"/>
          <w:b/>
          <w:bCs/>
          <w:sz w:val="24"/>
          <w:szCs w:val="24"/>
        </w:rPr>
      </w:pPr>
    </w:p>
    <w:p w:rsidR="00885A1F" w:rsidRPr="008D56DE" w:rsidRDefault="00366842" w:rsidP="003E298C">
      <w:pPr>
        <w:spacing w:after="0" w:line="264"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TENURED/TENURE-TRACK FACULTY </w:t>
      </w:r>
      <w:r w:rsidR="7C8737DB" w:rsidRPr="7C8737DB">
        <w:rPr>
          <w:rFonts w:ascii="Times New Roman" w:hAnsi="Times New Roman" w:cs="Times New Roman"/>
          <w:b/>
          <w:bCs/>
          <w:sz w:val="24"/>
          <w:szCs w:val="24"/>
        </w:rPr>
        <w:t>ANNUAL EVALUATION</w:t>
      </w:r>
      <w:r>
        <w:rPr>
          <w:rFonts w:ascii="Times New Roman" w:hAnsi="Times New Roman" w:cs="Times New Roman"/>
          <w:b/>
          <w:bCs/>
          <w:sz w:val="24"/>
          <w:szCs w:val="24"/>
        </w:rPr>
        <w:t xml:space="preserve"> POLICY </w:t>
      </w:r>
    </w:p>
    <w:p w:rsidR="00C45EE8" w:rsidRPr="008D56DE" w:rsidRDefault="00885A1F" w:rsidP="003E298C">
      <w:pPr>
        <w:spacing w:after="0" w:line="264" w:lineRule="auto"/>
        <w:jc w:val="center"/>
        <w:rPr>
          <w:rFonts w:ascii="Times New Roman" w:hAnsi="Times New Roman" w:cs="Times New Roman"/>
          <w:b/>
          <w:sz w:val="24"/>
          <w:szCs w:val="24"/>
        </w:rPr>
      </w:pPr>
      <w:r w:rsidRPr="008D56DE">
        <w:rPr>
          <w:rFonts w:ascii="Times New Roman" w:hAnsi="Times New Roman" w:cs="Times New Roman"/>
          <w:b/>
          <w:sz w:val="24"/>
          <w:szCs w:val="24"/>
        </w:rPr>
        <w:t xml:space="preserve">SCCJ </w:t>
      </w:r>
      <w:r w:rsidR="00DA6EDE" w:rsidRPr="008D56DE">
        <w:rPr>
          <w:rFonts w:ascii="Times New Roman" w:hAnsi="Times New Roman" w:cs="Times New Roman"/>
          <w:b/>
          <w:sz w:val="24"/>
          <w:szCs w:val="24"/>
        </w:rPr>
        <w:t>EXECUTIVE COMMITTEE</w:t>
      </w:r>
    </w:p>
    <w:p w:rsidR="003703D3" w:rsidRPr="008D56DE" w:rsidRDefault="003703D3" w:rsidP="00E22DB9">
      <w:pPr>
        <w:spacing w:after="0" w:line="264" w:lineRule="auto"/>
        <w:jc w:val="center"/>
        <w:rPr>
          <w:rFonts w:ascii="Times New Roman" w:hAnsi="Times New Roman" w:cs="Times New Roman"/>
          <w:b/>
          <w:sz w:val="24"/>
          <w:szCs w:val="24"/>
        </w:rPr>
      </w:pPr>
    </w:p>
    <w:p w:rsidR="00C45EE8" w:rsidRPr="008D56DE" w:rsidRDefault="001346C8" w:rsidP="00E22DB9">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March</w:t>
      </w:r>
      <w:r w:rsidR="004228E2">
        <w:rPr>
          <w:rFonts w:ascii="Times New Roman" w:hAnsi="Times New Roman" w:cs="Times New Roman"/>
          <w:sz w:val="24"/>
          <w:szCs w:val="24"/>
        </w:rPr>
        <w:t xml:space="preserve"> </w:t>
      </w:r>
      <w:r>
        <w:rPr>
          <w:rFonts w:ascii="Times New Roman" w:hAnsi="Times New Roman" w:cs="Times New Roman"/>
          <w:sz w:val="24"/>
          <w:szCs w:val="24"/>
        </w:rPr>
        <w:t>1</w:t>
      </w:r>
      <w:r w:rsidR="003433E1">
        <w:rPr>
          <w:rFonts w:ascii="Times New Roman" w:hAnsi="Times New Roman" w:cs="Times New Roman"/>
          <w:sz w:val="24"/>
          <w:szCs w:val="24"/>
        </w:rPr>
        <w:t>6</w:t>
      </w:r>
      <w:r w:rsidR="7C8737DB" w:rsidRPr="7C8737DB">
        <w:rPr>
          <w:rFonts w:ascii="Times New Roman" w:hAnsi="Times New Roman" w:cs="Times New Roman"/>
          <w:sz w:val="24"/>
          <w:szCs w:val="24"/>
        </w:rPr>
        <w:t>, 202</w:t>
      </w:r>
      <w:r w:rsidR="004228E2">
        <w:rPr>
          <w:rFonts w:ascii="Times New Roman" w:hAnsi="Times New Roman" w:cs="Times New Roman"/>
          <w:sz w:val="24"/>
          <w:szCs w:val="24"/>
        </w:rPr>
        <w:t>1</w:t>
      </w:r>
    </w:p>
    <w:p w:rsidR="003703D3" w:rsidRDefault="003703D3" w:rsidP="00E22DB9">
      <w:pPr>
        <w:spacing w:after="0" w:line="264" w:lineRule="auto"/>
        <w:rPr>
          <w:rFonts w:ascii="Times New Roman" w:hAnsi="Times New Roman" w:cs="Times New Roman"/>
          <w:b/>
          <w:sz w:val="24"/>
          <w:szCs w:val="24"/>
        </w:rPr>
      </w:pPr>
    </w:p>
    <w:p w:rsidR="003433E1" w:rsidRPr="008D56DE" w:rsidRDefault="003433E1" w:rsidP="00E22DB9">
      <w:pPr>
        <w:spacing w:after="0" w:line="264" w:lineRule="auto"/>
        <w:rPr>
          <w:rFonts w:ascii="Times New Roman" w:hAnsi="Times New Roman" w:cs="Times New Roman"/>
          <w:b/>
          <w:sz w:val="24"/>
          <w:szCs w:val="24"/>
        </w:rPr>
      </w:pPr>
    </w:p>
    <w:p w:rsidR="00DA6EDE" w:rsidRDefault="00DA6EDE" w:rsidP="003433E1">
      <w:pPr>
        <w:pStyle w:val="Heading1"/>
        <w:spacing w:before="0" w:line="480" w:lineRule="auto"/>
        <w:jc w:val="center"/>
      </w:pPr>
      <w:r w:rsidRPr="008D56DE">
        <w:t>Background</w:t>
      </w:r>
    </w:p>
    <w:p w:rsidR="0098727F" w:rsidRPr="008D56DE" w:rsidRDefault="7C8737DB" w:rsidP="00E22DB9">
      <w:pPr>
        <w:spacing w:after="0" w:line="264" w:lineRule="auto"/>
        <w:rPr>
          <w:rFonts w:ascii="Times New Roman" w:hAnsi="Times New Roman" w:cs="Times New Roman"/>
          <w:sz w:val="24"/>
          <w:szCs w:val="24"/>
        </w:rPr>
      </w:pPr>
      <w:r w:rsidRPr="7C8737DB">
        <w:rPr>
          <w:rFonts w:ascii="Times New Roman" w:hAnsi="Times New Roman" w:cs="Times New Roman"/>
          <w:sz w:val="24"/>
          <w:szCs w:val="24"/>
        </w:rPr>
        <w:t>The Bylaws of the School of Criminology and Criminal Justice (SCCJ) require the Executive Committee to “coordinate Annual Performance Reviews of all tenured and tenure-track faculty and confidentially inform the School Director of the Committee’s evaluation and recommendations with regard to the three areas of Scholarship and Research, Teaching, and Service.”</w:t>
      </w:r>
    </w:p>
    <w:p w:rsidR="00885A1F" w:rsidRPr="008D56DE" w:rsidRDefault="00885A1F" w:rsidP="00E22DB9">
      <w:pPr>
        <w:spacing w:after="0" w:line="264" w:lineRule="auto"/>
        <w:rPr>
          <w:rFonts w:ascii="Times New Roman" w:hAnsi="Times New Roman" w:cs="Times New Roman"/>
          <w:sz w:val="24"/>
          <w:szCs w:val="24"/>
        </w:rPr>
      </w:pPr>
    </w:p>
    <w:p w:rsidR="00DA6EDE" w:rsidRPr="008D56DE" w:rsidRDefault="7C8737DB" w:rsidP="00E22DB9">
      <w:pPr>
        <w:spacing w:after="0" w:line="264" w:lineRule="auto"/>
        <w:rPr>
          <w:rFonts w:ascii="Times New Roman" w:hAnsi="Times New Roman" w:cs="Times New Roman"/>
          <w:sz w:val="24"/>
          <w:szCs w:val="24"/>
        </w:rPr>
      </w:pPr>
      <w:r w:rsidRPr="7C8737DB">
        <w:rPr>
          <w:rFonts w:ascii="Times New Roman" w:hAnsi="Times New Roman" w:cs="Times New Roman"/>
          <w:sz w:val="24"/>
          <w:szCs w:val="24"/>
        </w:rPr>
        <w:t xml:space="preserve">The process for conducting these Annual Performance Reviews has historically been ad hoc, influenced heavily by the composition of the committee and the individual serving as Chair in any given year. Certain aspects of the review process have varied from year-to-year, such as whether to use student evaluations of teaching and the manner in which workload assignments are incorporated into the scores.  </w:t>
      </w:r>
    </w:p>
    <w:p w:rsidR="00885A1F" w:rsidRPr="008D56DE" w:rsidRDefault="00885A1F" w:rsidP="00E22DB9">
      <w:pPr>
        <w:spacing w:after="0" w:line="264" w:lineRule="auto"/>
        <w:rPr>
          <w:rFonts w:ascii="Times New Roman" w:eastAsia="Times New Roman" w:hAnsi="Times New Roman" w:cs="Times New Roman"/>
          <w:sz w:val="24"/>
          <w:szCs w:val="24"/>
        </w:rPr>
      </w:pPr>
    </w:p>
    <w:p w:rsidR="00DA6EDE" w:rsidRPr="008D56DE" w:rsidRDefault="00DA6EDE" w:rsidP="00E22DB9">
      <w:pPr>
        <w:spacing w:after="0" w:line="264" w:lineRule="auto"/>
        <w:rPr>
          <w:rFonts w:ascii="Times New Roman" w:hAnsi="Times New Roman" w:cs="Times New Roman"/>
          <w:sz w:val="24"/>
          <w:szCs w:val="24"/>
        </w:rPr>
      </w:pPr>
      <w:r w:rsidRPr="008D56DE">
        <w:rPr>
          <w:rFonts w:ascii="Times New Roman" w:eastAsia="Times New Roman" w:hAnsi="Times New Roman" w:cs="Times New Roman"/>
          <w:sz w:val="24"/>
          <w:szCs w:val="24"/>
        </w:rPr>
        <w:t>This ad hoc process is inconsistent with Arizona State University</w:t>
      </w:r>
      <w:r w:rsidR="00F06A45">
        <w:rPr>
          <w:rFonts w:ascii="Times New Roman" w:eastAsia="Times New Roman" w:hAnsi="Times New Roman" w:cs="Times New Roman"/>
          <w:sz w:val="24"/>
          <w:szCs w:val="24"/>
        </w:rPr>
        <w:t>’s</w:t>
      </w:r>
      <w:r w:rsidRPr="008D56DE">
        <w:rPr>
          <w:rFonts w:ascii="Times New Roman" w:eastAsia="Times New Roman" w:hAnsi="Times New Roman" w:cs="Times New Roman"/>
          <w:sz w:val="24"/>
          <w:szCs w:val="24"/>
        </w:rPr>
        <w:t xml:space="preserve"> policy on annual evaluations of faculty. In ACD506-10, Arizona State University’s Academic Affairs Manual states that each academic unit must have a written policy specifying how faculty will be evaluated.</w:t>
      </w:r>
      <w:r w:rsidRPr="008D56DE">
        <w:rPr>
          <w:rStyle w:val="FootnoteReference"/>
          <w:rFonts w:ascii="Times New Roman" w:eastAsia="Times New Roman" w:hAnsi="Times New Roman" w:cs="Times New Roman"/>
          <w:sz w:val="24"/>
          <w:szCs w:val="24"/>
        </w:rPr>
        <w:footnoteReference w:id="1"/>
      </w:r>
      <w:r w:rsidRPr="008D56DE">
        <w:rPr>
          <w:rFonts w:ascii="Times New Roman" w:eastAsia="Times New Roman" w:hAnsi="Times New Roman" w:cs="Times New Roman"/>
          <w:sz w:val="24"/>
          <w:szCs w:val="24"/>
        </w:rPr>
        <w:t xml:space="preserve"> Moreover, this policy </w:t>
      </w:r>
      <w:r w:rsidRPr="008D56DE">
        <w:rPr>
          <w:rFonts w:ascii="Times New Roman" w:hAnsi="Times New Roman" w:cs="Times New Roman"/>
          <w:sz w:val="24"/>
          <w:szCs w:val="24"/>
        </w:rPr>
        <w:t>“must be approved by the voting members of the unit’s academic assembly as specified by unit policies, and then submitted for review and action by the dean, and the provost of the university.”</w:t>
      </w:r>
    </w:p>
    <w:p w:rsidR="00885A1F" w:rsidRPr="008D56DE" w:rsidRDefault="00885A1F" w:rsidP="00E22DB9">
      <w:pPr>
        <w:spacing w:after="0" w:line="264" w:lineRule="auto"/>
        <w:rPr>
          <w:rFonts w:ascii="Times New Roman" w:hAnsi="Times New Roman" w:cs="Times New Roman"/>
          <w:sz w:val="24"/>
          <w:szCs w:val="24"/>
        </w:rPr>
      </w:pPr>
    </w:p>
    <w:p w:rsidR="00DA6EDE" w:rsidRPr="008D56DE" w:rsidRDefault="0010017F" w:rsidP="00E22DB9">
      <w:pPr>
        <w:spacing w:after="0" w:line="264" w:lineRule="auto"/>
        <w:rPr>
          <w:rFonts w:ascii="Times New Roman" w:eastAsia="Times New Roman" w:hAnsi="Times New Roman" w:cs="Times New Roman"/>
          <w:sz w:val="24"/>
          <w:szCs w:val="24"/>
        </w:rPr>
      </w:pPr>
      <w:r w:rsidRPr="008D56DE">
        <w:rPr>
          <w:rFonts w:ascii="Times New Roman" w:hAnsi="Times New Roman" w:cs="Times New Roman"/>
          <w:sz w:val="24"/>
          <w:szCs w:val="24"/>
        </w:rPr>
        <w:t>This year</w:t>
      </w:r>
      <w:r w:rsidR="003433E1">
        <w:rPr>
          <w:rFonts w:ascii="Times New Roman" w:hAnsi="Times New Roman" w:cs="Times New Roman"/>
          <w:sz w:val="24"/>
          <w:szCs w:val="24"/>
        </w:rPr>
        <w:t>,</w:t>
      </w:r>
      <w:r w:rsidRPr="008D56DE">
        <w:rPr>
          <w:rFonts w:ascii="Times New Roman" w:hAnsi="Times New Roman" w:cs="Times New Roman"/>
          <w:sz w:val="24"/>
          <w:szCs w:val="24"/>
        </w:rPr>
        <w:t xml:space="preserve"> the Executive Committee seeks to adopt a policy for conducting Annual Performance Reviews so that the process is more transparent and consistent. </w:t>
      </w:r>
      <w:r w:rsidR="00DA6EDE" w:rsidRPr="008D56DE">
        <w:rPr>
          <w:rFonts w:ascii="Times New Roman" w:eastAsia="Times New Roman" w:hAnsi="Times New Roman" w:cs="Times New Roman"/>
          <w:sz w:val="24"/>
          <w:szCs w:val="24"/>
        </w:rPr>
        <w:t>The proposed policy is intended to bring the School of Criminology and Criminal Justice into compliance with ACD506-10.</w:t>
      </w:r>
    </w:p>
    <w:p w:rsidR="00F06A45" w:rsidRDefault="00F06A45" w:rsidP="7C8737DB">
      <w:pPr>
        <w:pStyle w:val="Heading1"/>
        <w:jc w:val="center"/>
        <w:rPr>
          <w:rFonts w:eastAsia="Times New Roman"/>
        </w:rPr>
      </w:pPr>
    </w:p>
    <w:p w:rsidR="00DA6EDE" w:rsidRDefault="7C8737DB" w:rsidP="7C8737DB">
      <w:pPr>
        <w:pStyle w:val="Heading1"/>
        <w:jc w:val="center"/>
        <w:rPr>
          <w:rFonts w:eastAsia="Times New Roman"/>
        </w:rPr>
      </w:pPr>
      <w:r w:rsidRPr="7C8737DB">
        <w:rPr>
          <w:rFonts w:eastAsia="Times New Roman"/>
        </w:rPr>
        <w:t>Proposed Policy</w:t>
      </w:r>
    </w:p>
    <w:p w:rsidR="00F42F36" w:rsidRPr="008D56DE" w:rsidRDefault="00F42F36" w:rsidP="008D56DE">
      <w:pPr>
        <w:pStyle w:val="Heading1"/>
        <w:rPr>
          <w:rFonts w:eastAsia="Times New Roman"/>
        </w:rPr>
      </w:pPr>
      <w:r w:rsidRPr="008D56DE">
        <w:rPr>
          <w:rFonts w:eastAsia="Times New Roman"/>
        </w:rPr>
        <w:t>I</w:t>
      </w:r>
      <w:r w:rsidR="008D56DE">
        <w:rPr>
          <w:rFonts w:eastAsia="Times New Roman"/>
        </w:rPr>
        <w:t>ntroduction</w:t>
      </w:r>
    </w:p>
    <w:p w:rsidR="00F42F36" w:rsidRPr="008D56DE" w:rsidRDefault="7C8737DB" w:rsidP="00F42F36">
      <w:pPr>
        <w:spacing w:after="0" w:line="264" w:lineRule="auto"/>
        <w:rPr>
          <w:rFonts w:ascii="Times New Roman" w:eastAsia="Times New Roman" w:hAnsi="Times New Roman" w:cs="Times New Roman"/>
          <w:sz w:val="24"/>
          <w:szCs w:val="24"/>
        </w:rPr>
      </w:pPr>
      <w:r w:rsidRPr="7C8737DB">
        <w:rPr>
          <w:rFonts w:ascii="Times New Roman" w:eastAsia="Times New Roman" w:hAnsi="Times New Roman" w:cs="Times New Roman"/>
          <w:sz w:val="24"/>
          <w:szCs w:val="24"/>
        </w:rPr>
        <w:t xml:space="preserve">The School of Criminology and Criminal Justice (hereafter referred to as the School) has developed a strong professional curriculum, advanced a broad and rigorous research agenda, and arranged effective partnerships with local and regional community organizations. The School advances the social, economic, environmental and cultural well-being of our local and global communities through instruction, research, and service, which should be reflected in Annual Performance Reviews of faculty, staff and administrators. </w:t>
      </w:r>
    </w:p>
    <w:p w:rsidR="00F42F36" w:rsidRDefault="00F42F36" w:rsidP="00F42F36">
      <w:pPr>
        <w:spacing w:after="0" w:line="264" w:lineRule="auto"/>
        <w:rPr>
          <w:rFonts w:ascii="Times New Roman" w:eastAsia="Times New Roman" w:hAnsi="Times New Roman" w:cs="Times New Roman"/>
          <w:sz w:val="24"/>
          <w:szCs w:val="24"/>
        </w:rPr>
      </w:pPr>
    </w:p>
    <w:p w:rsidR="00B34E97" w:rsidRPr="008D56DE" w:rsidRDefault="00B34E97" w:rsidP="00F42F3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Recommended Policy #1: Faculty APRs</w:t>
      </w:r>
    </w:p>
    <w:p w:rsidR="00DB32F8" w:rsidRPr="007C0E80" w:rsidRDefault="00DB32F8" w:rsidP="007C0E80">
      <w:pPr>
        <w:pStyle w:val="Heading1"/>
      </w:pPr>
      <w:r w:rsidRPr="007C0E80">
        <w:t>Annual Performance Reviews for Tenure Track Faculty</w:t>
      </w:r>
    </w:p>
    <w:p w:rsidR="00254E96" w:rsidRPr="00254E96" w:rsidRDefault="00254E96" w:rsidP="00254E96">
      <w:pPr>
        <w:pStyle w:val="Heading2"/>
        <w:rPr>
          <w:rFonts w:eastAsia="Times New Roman"/>
        </w:rPr>
      </w:pPr>
      <w:r w:rsidRPr="00254E96">
        <w:rPr>
          <w:rFonts w:eastAsia="Times New Roman"/>
        </w:rPr>
        <w:t>Purpose of Annual Performance Review</w:t>
      </w:r>
    </w:p>
    <w:p w:rsidR="00E45611" w:rsidRPr="003433E1" w:rsidRDefault="7C8737DB" w:rsidP="7C8737DB">
      <w:pPr>
        <w:pStyle w:val="NormalWeb"/>
        <w:spacing w:before="0" w:beforeAutospacing="0" w:after="0" w:afterAutospacing="0"/>
        <w:rPr>
          <w:color w:val="000000"/>
        </w:rPr>
      </w:pPr>
      <w:r w:rsidRPr="003433E1">
        <w:rPr>
          <w:color w:val="000000" w:themeColor="text1"/>
        </w:rPr>
        <w:t>The purpose of this document is to specify the processes, criteria, and measures used in the School to achieve the goals of the Annual Performance Review. Each year</w:t>
      </w:r>
      <w:r w:rsidR="003433E1">
        <w:rPr>
          <w:color w:val="000000" w:themeColor="text1"/>
        </w:rPr>
        <w:t>,</w:t>
      </w:r>
      <w:r w:rsidRPr="003433E1">
        <w:rPr>
          <w:color w:val="000000" w:themeColor="text1"/>
        </w:rPr>
        <w:t xml:space="preserve"> faculty are required to undergo Annual Performance Review (APR) to assess faculty performance, provide feedback to faculty on their performance, and to </w:t>
      </w:r>
      <w:r w:rsidR="00E51D7B" w:rsidRPr="003433E1">
        <w:rPr>
          <w:color w:val="000000" w:themeColor="text1"/>
        </w:rPr>
        <w:t xml:space="preserve">form </w:t>
      </w:r>
      <w:r w:rsidR="00B226E8" w:rsidRPr="003433E1">
        <w:rPr>
          <w:color w:val="000000" w:themeColor="text1"/>
        </w:rPr>
        <w:t>a basis for decisions on the allocation of merit increases to faculty salar</w:t>
      </w:r>
      <w:r w:rsidR="003433E1">
        <w:rPr>
          <w:color w:val="000000" w:themeColor="text1"/>
        </w:rPr>
        <w:t>ies</w:t>
      </w:r>
      <w:r w:rsidRPr="003433E1">
        <w:rPr>
          <w:color w:val="000000" w:themeColor="text1"/>
        </w:rPr>
        <w:t xml:space="preserve">.   </w:t>
      </w:r>
    </w:p>
    <w:p w:rsidR="00254E96" w:rsidRPr="003433E1" w:rsidRDefault="00254E96" w:rsidP="00254E96">
      <w:pPr>
        <w:spacing w:after="0" w:line="264" w:lineRule="auto"/>
        <w:rPr>
          <w:rFonts w:ascii="Times New Roman" w:eastAsia="Times New Roman" w:hAnsi="Times New Roman" w:cs="Times New Roman"/>
          <w:sz w:val="24"/>
          <w:szCs w:val="24"/>
        </w:rPr>
      </w:pPr>
    </w:p>
    <w:p w:rsidR="00254E96" w:rsidRDefault="00254E96" w:rsidP="00254E96">
      <w:pPr>
        <w:pStyle w:val="Heading2"/>
        <w:rPr>
          <w:rFonts w:eastAsia="Times New Roman"/>
        </w:rPr>
      </w:pPr>
      <w:r>
        <w:rPr>
          <w:rFonts w:eastAsia="Times New Roman"/>
        </w:rPr>
        <w:t>Philosophy of Evaluation</w:t>
      </w:r>
    </w:p>
    <w:p w:rsidR="00BB087C" w:rsidRDefault="47126598" w:rsidP="00F42F36">
      <w:pPr>
        <w:spacing w:after="0" w:line="264" w:lineRule="auto"/>
        <w:rPr>
          <w:rFonts w:ascii="Times New Roman" w:eastAsia="Times New Roman" w:hAnsi="Times New Roman" w:cs="Times New Roman"/>
          <w:sz w:val="24"/>
          <w:szCs w:val="24"/>
        </w:rPr>
      </w:pPr>
      <w:r w:rsidRPr="47126598">
        <w:rPr>
          <w:rFonts w:ascii="Times New Roman" w:eastAsia="Times New Roman" w:hAnsi="Times New Roman" w:cs="Times New Roman"/>
          <w:sz w:val="24"/>
          <w:szCs w:val="24"/>
        </w:rPr>
        <w:t xml:space="preserve">In general, tenure-track faculty members in the School are expected to assume a workload distribution consisting of teaching (40%), research (40%), and service (20%). Exceptions to this typical workload may be negotiated in special cases to reflect faculty interests and talents while enabling the School to meet its collective goals of teaching, research, and service. An exception to the typical workload should be negotiated in advance with the School’s Director. Faculty must contribute in all three areas; the lowest percentage allowable in each category is 10%. </w:t>
      </w:r>
    </w:p>
    <w:p w:rsidR="00254E96" w:rsidRPr="008D56DE" w:rsidRDefault="00254E96" w:rsidP="007C0E80">
      <w:pPr>
        <w:pStyle w:val="Heading2"/>
        <w:rPr>
          <w:rFonts w:eastAsia="Times New Roman"/>
        </w:rPr>
      </w:pPr>
      <w:r w:rsidRPr="008D56DE">
        <w:rPr>
          <w:rFonts w:eastAsia="Times New Roman"/>
        </w:rPr>
        <w:t>Coordination of Annual Performance Review</w:t>
      </w:r>
      <w:r w:rsidR="003433E1">
        <w:rPr>
          <w:rFonts w:eastAsia="Times New Roman"/>
        </w:rPr>
        <w:t>s</w:t>
      </w:r>
    </w:p>
    <w:p w:rsidR="00765636" w:rsidRDefault="7C8737DB" w:rsidP="00254E96">
      <w:pPr>
        <w:spacing w:after="0" w:line="264" w:lineRule="auto"/>
      </w:pPr>
      <w:r w:rsidRPr="7C8737DB">
        <w:rPr>
          <w:rFonts w:ascii="Times New Roman" w:hAnsi="Times New Roman" w:cs="Times New Roman"/>
          <w:sz w:val="24"/>
          <w:szCs w:val="24"/>
        </w:rPr>
        <w:t xml:space="preserve">In accordance with CCJ bylaws, the Executive Committee will coordinate Annual Performance Reviews of all tenured and tenure-track faculty and inform the School Director of the Committee’s evaluation recommendations with regard to </w:t>
      </w:r>
      <w:r w:rsidR="003433E1">
        <w:rPr>
          <w:rFonts w:ascii="Times New Roman" w:hAnsi="Times New Roman" w:cs="Times New Roman"/>
          <w:sz w:val="24"/>
          <w:szCs w:val="24"/>
        </w:rPr>
        <w:t>r</w:t>
      </w:r>
      <w:r w:rsidRPr="7C8737DB">
        <w:rPr>
          <w:rFonts w:ascii="Times New Roman" w:hAnsi="Times New Roman" w:cs="Times New Roman"/>
          <w:sz w:val="24"/>
          <w:szCs w:val="24"/>
        </w:rPr>
        <w:t xml:space="preserve">esearch, </w:t>
      </w:r>
      <w:r w:rsidR="003433E1">
        <w:rPr>
          <w:rFonts w:ascii="Times New Roman" w:hAnsi="Times New Roman" w:cs="Times New Roman"/>
          <w:sz w:val="24"/>
          <w:szCs w:val="24"/>
        </w:rPr>
        <w:t>t</w:t>
      </w:r>
      <w:r w:rsidRPr="7C8737DB">
        <w:rPr>
          <w:rFonts w:ascii="Times New Roman" w:hAnsi="Times New Roman" w:cs="Times New Roman"/>
          <w:sz w:val="24"/>
          <w:szCs w:val="24"/>
        </w:rPr>
        <w:t xml:space="preserve">eaching, and </w:t>
      </w:r>
      <w:r w:rsidR="003433E1">
        <w:rPr>
          <w:rFonts w:ascii="Times New Roman" w:hAnsi="Times New Roman" w:cs="Times New Roman"/>
          <w:sz w:val="24"/>
          <w:szCs w:val="24"/>
        </w:rPr>
        <w:t>s</w:t>
      </w:r>
      <w:r w:rsidRPr="7C8737DB">
        <w:rPr>
          <w:rFonts w:ascii="Times New Roman" w:hAnsi="Times New Roman" w:cs="Times New Roman"/>
          <w:sz w:val="24"/>
          <w:szCs w:val="24"/>
        </w:rPr>
        <w:t xml:space="preserve">ervice. </w:t>
      </w:r>
      <w:r w:rsidR="00DB60E2">
        <w:rPr>
          <w:rFonts w:ascii="Times New Roman" w:hAnsi="Times New Roman" w:cs="Times New Roman"/>
          <w:sz w:val="24"/>
          <w:szCs w:val="24"/>
        </w:rPr>
        <w:t>Furthermore,</w:t>
      </w:r>
      <w:r w:rsidR="00B226E8">
        <w:rPr>
          <w:rFonts w:ascii="Times New Roman" w:hAnsi="Times New Roman" w:cs="Times New Roman"/>
          <w:sz w:val="24"/>
          <w:szCs w:val="24"/>
        </w:rPr>
        <w:t xml:space="preserve"> in accordance with CCJ bylaws, </w:t>
      </w:r>
      <w:r w:rsidR="00DB60E2" w:rsidRPr="003433E1">
        <w:rPr>
          <w:rFonts w:ascii="Times New Roman" w:hAnsi="Times New Roman" w:cs="Times New Roman"/>
          <w:sz w:val="24"/>
          <w:szCs w:val="24"/>
        </w:rPr>
        <w:t>e</w:t>
      </w:r>
      <w:r w:rsidRPr="003433E1">
        <w:rPr>
          <w:rFonts w:ascii="Times New Roman" w:hAnsi="Times New Roman" w:cs="Times New Roman"/>
          <w:sz w:val="24"/>
          <w:szCs w:val="24"/>
        </w:rPr>
        <w:t>ach faculty member will receive a copy of the Committee’s evaluation recommendations for that faculty member.</w:t>
      </w:r>
      <w:r>
        <w:t xml:space="preserve"> </w:t>
      </w:r>
    </w:p>
    <w:p w:rsidR="00765636" w:rsidRDefault="00765636" w:rsidP="00254E96">
      <w:pPr>
        <w:spacing w:after="0" w:line="264" w:lineRule="auto"/>
      </w:pPr>
    </w:p>
    <w:p w:rsidR="00765636" w:rsidRDefault="7C8737DB" w:rsidP="00254E96">
      <w:pPr>
        <w:spacing w:after="0" w:line="264" w:lineRule="auto"/>
        <w:rPr>
          <w:rFonts w:ascii="Times New Roman" w:hAnsi="Times New Roman" w:cs="Times New Roman"/>
          <w:sz w:val="24"/>
          <w:szCs w:val="24"/>
        </w:rPr>
      </w:pPr>
      <w:r w:rsidRPr="7C8737DB">
        <w:rPr>
          <w:rFonts w:ascii="Times New Roman" w:hAnsi="Times New Roman" w:cs="Times New Roman"/>
          <w:sz w:val="24"/>
          <w:szCs w:val="24"/>
        </w:rPr>
        <w:t>Following the Committee’s review and recommendations to the Director, each faculty member will receive the Director’s evaluation of their performance in writing.</w:t>
      </w:r>
    </w:p>
    <w:p w:rsidR="00765636" w:rsidRDefault="00765636" w:rsidP="00254E96">
      <w:pPr>
        <w:spacing w:after="0" w:line="264" w:lineRule="auto"/>
        <w:rPr>
          <w:rFonts w:ascii="Times New Roman" w:hAnsi="Times New Roman" w:cs="Times New Roman"/>
          <w:sz w:val="24"/>
          <w:szCs w:val="24"/>
        </w:rPr>
      </w:pPr>
    </w:p>
    <w:p w:rsidR="00765636" w:rsidRDefault="3891EC0C" w:rsidP="00254E96">
      <w:pPr>
        <w:spacing w:after="0" w:line="264" w:lineRule="auto"/>
        <w:rPr>
          <w:rFonts w:ascii="Times New Roman" w:hAnsi="Times New Roman" w:cs="Times New Roman"/>
          <w:sz w:val="24"/>
          <w:szCs w:val="24"/>
        </w:rPr>
      </w:pPr>
      <w:r w:rsidRPr="3891EC0C">
        <w:rPr>
          <w:rFonts w:ascii="Times New Roman" w:hAnsi="Times New Roman" w:cs="Times New Roman"/>
          <w:sz w:val="24"/>
          <w:szCs w:val="24"/>
        </w:rPr>
        <w:t xml:space="preserve">In addition to providing each faculty member with a written assessment of their performance, the Director is also available to discuss the performance assessment with faculty on request. A written statement recording the sense of this discussion will be provided to the faculty member by the Director if such a conversation does take place.  </w:t>
      </w:r>
    </w:p>
    <w:p w:rsidR="00765636" w:rsidRDefault="00765636" w:rsidP="00254E96">
      <w:pPr>
        <w:spacing w:after="0" w:line="264" w:lineRule="auto"/>
        <w:rPr>
          <w:rFonts w:ascii="Times New Roman" w:hAnsi="Times New Roman" w:cs="Times New Roman"/>
          <w:sz w:val="24"/>
          <w:szCs w:val="24"/>
        </w:rPr>
      </w:pPr>
    </w:p>
    <w:p w:rsidR="00254E96" w:rsidRPr="008D56DE" w:rsidRDefault="007C0E80" w:rsidP="007C0E80">
      <w:pPr>
        <w:pStyle w:val="Heading2"/>
        <w:rPr>
          <w:rFonts w:eastAsia="MS Mincho"/>
        </w:rPr>
      </w:pPr>
      <w:r>
        <w:rPr>
          <w:rFonts w:eastAsia="MS Mincho"/>
        </w:rPr>
        <w:t>Evaluation materials for annual review</w:t>
      </w:r>
    </w:p>
    <w:p w:rsidR="00254E96" w:rsidRPr="008D56DE" w:rsidRDefault="6924E9DA" w:rsidP="007C0E80">
      <w:pPr>
        <w:pStyle w:val="PlainText"/>
        <w:ind w:right="242"/>
        <w:rPr>
          <w:rFonts w:ascii="Times New Roman" w:eastAsia="MS Mincho" w:hAnsi="Times New Roman" w:cs="Times New Roman"/>
          <w:sz w:val="24"/>
          <w:szCs w:val="24"/>
        </w:rPr>
      </w:pPr>
      <w:r w:rsidRPr="6924E9DA">
        <w:rPr>
          <w:rFonts w:ascii="Times New Roman" w:eastAsia="MS Mincho" w:hAnsi="Times New Roman" w:cs="Times New Roman"/>
          <w:sz w:val="24"/>
          <w:szCs w:val="24"/>
        </w:rPr>
        <w:t>Tenure-track faculty members are responsible for preparing materials for the annual review process covering the previous three-year period. All faculty members</w:t>
      </w:r>
      <w:r w:rsidR="00BF56D4">
        <w:rPr>
          <w:rFonts w:ascii="Times New Roman" w:eastAsia="MS Mincho" w:hAnsi="Times New Roman" w:cs="Times New Roman"/>
          <w:sz w:val="24"/>
          <w:szCs w:val="24"/>
        </w:rPr>
        <w:t xml:space="preserve"> shall</w:t>
      </w:r>
      <w:r w:rsidRPr="6924E9DA">
        <w:rPr>
          <w:rFonts w:ascii="Times New Roman" w:eastAsia="MS Mincho" w:hAnsi="Times New Roman" w:cs="Times New Roman"/>
          <w:sz w:val="24"/>
          <w:szCs w:val="24"/>
        </w:rPr>
        <w:t xml:space="preserve"> file complete evaluation materials </w:t>
      </w:r>
      <w:r w:rsidR="00BF56D4">
        <w:rPr>
          <w:rFonts w:ascii="Times New Roman" w:eastAsia="MS Mincho" w:hAnsi="Times New Roman" w:cs="Times New Roman"/>
          <w:sz w:val="24"/>
          <w:szCs w:val="24"/>
        </w:rPr>
        <w:t>(</w:t>
      </w:r>
      <w:r w:rsidR="00ED2E66">
        <w:rPr>
          <w:rFonts w:ascii="Times New Roman" w:eastAsia="MS Mincho" w:hAnsi="Times New Roman" w:cs="Times New Roman"/>
          <w:sz w:val="24"/>
          <w:szCs w:val="24"/>
        </w:rPr>
        <w:t>at present through</w:t>
      </w:r>
      <w:r w:rsidR="00D9270E">
        <w:rPr>
          <w:rFonts w:ascii="Times New Roman" w:eastAsia="MS Mincho" w:hAnsi="Times New Roman" w:cs="Times New Roman"/>
          <w:sz w:val="24"/>
          <w:szCs w:val="24"/>
        </w:rPr>
        <w:t xml:space="preserve"> Interfolio </w:t>
      </w:r>
      <w:r w:rsidR="00366842">
        <w:rPr>
          <w:rFonts w:ascii="Times New Roman" w:eastAsia="MS Mincho" w:hAnsi="Times New Roman" w:cs="Times New Roman"/>
          <w:sz w:val="24"/>
          <w:szCs w:val="24"/>
        </w:rPr>
        <w:t>ASU Vita</w:t>
      </w:r>
      <w:r w:rsidR="00254018">
        <w:rPr>
          <w:rFonts w:ascii="Times New Roman" w:eastAsia="MS Mincho" w:hAnsi="Times New Roman" w:cs="Times New Roman"/>
          <w:sz w:val="24"/>
          <w:szCs w:val="24"/>
        </w:rPr>
        <w:t xml:space="preserve">) </w:t>
      </w:r>
      <w:r w:rsidRPr="6924E9DA">
        <w:rPr>
          <w:rFonts w:ascii="Times New Roman" w:eastAsia="MS Mincho" w:hAnsi="Times New Roman" w:cs="Times New Roman"/>
          <w:sz w:val="24"/>
          <w:szCs w:val="24"/>
        </w:rPr>
        <w:t>to be considered for merit or equity adjustments. At a minimum, the faculty are required to provide their vitae to the Executive Committee. Teaching evaluations</w:t>
      </w:r>
      <w:r w:rsidR="00366842">
        <w:rPr>
          <w:rFonts w:ascii="Times New Roman" w:eastAsia="MS Mincho" w:hAnsi="Times New Roman" w:cs="Times New Roman"/>
          <w:sz w:val="24"/>
          <w:szCs w:val="24"/>
        </w:rPr>
        <w:t xml:space="preserve"> and the faculty member’s three-year workload</w:t>
      </w:r>
      <w:r w:rsidRPr="6924E9DA">
        <w:rPr>
          <w:rFonts w:ascii="Times New Roman" w:eastAsia="MS Mincho" w:hAnsi="Times New Roman" w:cs="Times New Roman"/>
          <w:sz w:val="24"/>
          <w:szCs w:val="24"/>
        </w:rPr>
        <w:t xml:space="preserve"> will be provided to the Committee by staff or the Director. Faculty members have the option to provide a </w:t>
      </w:r>
      <w:r w:rsidR="00366842">
        <w:rPr>
          <w:rFonts w:ascii="Times New Roman" w:eastAsia="MS Mincho" w:hAnsi="Times New Roman" w:cs="Times New Roman"/>
          <w:sz w:val="24"/>
          <w:szCs w:val="24"/>
        </w:rPr>
        <w:t>two</w:t>
      </w:r>
      <w:r w:rsidRPr="6924E9DA">
        <w:rPr>
          <w:rFonts w:ascii="Times New Roman" w:eastAsia="MS Mincho" w:hAnsi="Times New Roman" w:cs="Times New Roman"/>
          <w:sz w:val="24"/>
          <w:szCs w:val="24"/>
        </w:rPr>
        <w:t>-page statement contextualizing their achievements in research, teaching, and service over the evaluation period. Other materials requested by the Executive Committee or Director should be provided by the faculty member to the Committee on the timeline provided by the School and/or College.</w:t>
      </w:r>
    </w:p>
    <w:p w:rsidR="00254E96" w:rsidRDefault="00254E96" w:rsidP="00F42F36">
      <w:pPr>
        <w:spacing w:after="0" w:line="264" w:lineRule="auto"/>
        <w:rPr>
          <w:rFonts w:ascii="Times New Roman" w:eastAsia="Times New Roman" w:hAnsi="Times New Roman" w:cs="Times New Roman"/>
          <w:sz w:val="24"/>
          <w:szCs w:val="24"/>
        </w:rPr>
      </w:pPr>
    </w:p>
    <w:p w:rsidR="00254E96" w:rsidRPr="008D56DE" w:rsidRDefault="00254E96" w:rsidP="00254E96">
      <w:pPr>
        <w:pStyle w:val="Heading2"/>
        <w:rPr>
          <w:rFonts w:eastAsia="Times New Roman"/>
        </w:rPr>
      </w:pPr>
      <w:r>
        <w:rPr>
          <w:rFonts w:eastAsia="Times New Roman"/>
        </w:rPr>
        <w:t>Period of Evaluation</w:t>
      </w:r>
    </w:p>
    <w:p w:rsidR="00254E96" w:rsidRPr="008D56DE" w:rsidRDefault="6924E9DA" w:rsidP="6924E9DA">
      <w:pPr>
        <w:spacing w:after="0" w:line="264" w:lineRule="auto"/>
        <w:rPr>
          <w:rFonts w:ascii="Times New Roman" w:eastAsia="Times New Roman" w:hAnsi="Times New Roman" w:cs="Times New Roman"/>
          <w:sz w:val="24"/>
          <w:szCs w:val="24"/>
        </w:rPr>
      </w:pPr>
      <w:r w:rsidRPr="6924E9DA">
        <w:rPr>
          <w:rFonts w:ascii="Times New Roman" w:eastAsia="Times New Roman" w:hAnsi="Times New Roman" w:cs="Times New Roman"/>
          <w:sz w:val="24"/>
          <w:szCs w:val="24"/>
        </w:rPr>
        <w:t>The time period for the Annual Performance Review for tenure track faculty will include the previous three calendar years. Greater weight should be given to the most recent calendar year. Evaluation criteria in this document assume a 40/40/20 distribution. If the relative weightings for teaching, research, and service are different for the three-year evaluation period, the faculty member will develop with approval of the Director an overall workload estimate that reflects the relative weightings for the three areas of evaluation for the three-year evaluation period. Expectations for faculty with different workload distributions will be adjusted commensurately.</w:t>
      </w:r>
    </w:p>
    <w:p w:rsidR="00254E96" w:rsidRPr="008D56DE" w:rsidRDefault="00254E96" w:rsidP="00254E96">
      <w:pPr>
        <w:spacing w:after="0" w:line="264" w:lineRule="auto"/>
        <w:rPr>
          <w:rFonts w:ascii="Times New Roman" w:eastAsia="Times New Roman" w:hAnsi="Times New Roman" w:cs="Times New Roman"/>
          <w:sz w:val="24"/>
          <w:szCs w:val="24"/>
        </w:rPr>
      </w:pPr>
    </w:p>
    <w:p w:rsidR="00254E96" w:rsidRPr="008D56DE" w:rsidRDefault="7C8737DB" w:rsidP="007C0E80">
      <w:pPr>
        <w:pStyle w:val="Heading2"/>
        <w:rPr>
          <w:rFonts w:eastAsia="Times New Roman"/>
        </w:rPr>
      </w:pPr>
      <w:r w:rsidRPr="7C8737DB">
        <w:rPr>
          <w:rFonts w:eastAsia="Times New Roman"/>
        </w:rPr>
        <w:t>Performance pay (merit) evaluation criteria</w:t>
      </w:r>
    </w:p>
    <w:p w:rsidR="00254E96" w:rsidRPr="008D56DE" w:rsidRDefault="6924E9DA" w:rsidP="00254E96">
      <w:pPr>
        <w:spacing w:after="0" w:line="264" w:lineRule="auto"/>
        <w:rPr>
          <w:rFonts w:ascii="Times New Roman" w:eastAsia="Times New Roman" w:hAnsi="Times New Roman" w:cs="Times New Roman"/>
          <w:color w:val="000000" w:themeColor="text1"/>
          <w:sz w:val="24"/>
          <w:szCs w:val="24"/>
        </w:rPr>
      </w:pPr>
      <w:r w:rsidRPr="6924E9DA">
        <w:rPr>
          <w:rFonts w:ascii="Times New Roman" w:eastAsia="Times New Roman" w:hAnsi="Times New Roman" w:cs="Times New Roman"/>
          <w:color w:val="000000" w:themeColor="text1"/>
          <w:sz w:val="24"/>
          <w:szCs w:val="24"/>
        </w:rPr>
        <w:t xml:space="preserve">Performance pay is based on the premise that all faculty members who continue to make solid contributions to the scholarly, teaching, and service programs of the school should receive some level of meritorious consideration. </w:t>
      </w:r>
      <w:r w:rsidR="00254018">
        <w:rPr>
          <w:rFonts w:ascii="Times New Roman" w:eastAsia="Times New Roman" w:hAnsi="Times New Roman" w:cs="Times New Roman"/>
          <w:color w:val="000000" w:themeColor="text1"/>
          <w:sz w:val="24"/>
          <w:szCs w:val="24"/>
        </w:rPr>
        <w:t>As such, it is recommended that</w:t>
      </w:r>
      <w:r w:rsidR="00254018" w:rsidRPr="6924E9DA">
        <w:rPr>
          <w:rFonts w:ascii="Times New Roman" w:eastAsia="Times New Roman" w:hAnsi="Times New Roman" w:cs="Times New Roman"/>
          <w:color w:val="000000" w:themeColor="text1"/>
          <w:sz w:val="24"/>
          <w:szCs w:val="24"/>
        </w:rPr>
        <w:t xml:space="preserve"> </w:t>
      </w:r>
      <w:r w:rsidRPr="6924E9DA">
        <w:rPr>
          <w:rFonts w:ascii="Times New Roman" w:eastAsia="Times New Roman" w:hAnsi="Times New Roman" w:cs="Times New Roman"/>
          <w:color w:val="000000" w:themeColor="text1"/>
          <w:sz w:val="24"/>
          <w:szCs w:val="24"/>
        </w:rPr>
        <w:t>performance adjustments be distributed based on the percentage of the pool available, not on the basis of the percent of faculty salary.</w:t>
      </w:r>
      <w:r>
        <w:t xml:space="preserve"> </w:t>
      </w:r>
    </w:p>
    <w:p w:rsidR="00254E96" w:rsidRPr="008D56DE" w:rsidRDefault="00254E96" w:rsidP="00F42F36">
      <w:pPr>
        <w:spacing w:after="0" w:line="264" w:lineRule="auto"/>
        <w:rPr>
          <w:rFonts w:ascii="Times New Roman" w:eastAsia="Times New Roman" w:hAnsi="Times New Roman" w:cs="Times New Roman"/>
          <w:sz w:val="24"/>
          <w:szCs w:val="24"/>
        </w:rPr>
      </w:pPr>
    </w:p>
    <w:p w:rsidR="007C0E80" w:rsidRPr="008D56DE" w:rsidRDefault="007C0E80" w:rsidP="007C0E80">
      <w:pPr>
        <w:pStyle w:val="Heading2"/>
        <w:rPr>
          <w:rFonts w:eastAsia="Times New Roman"/>
        </w:rPr>
      </w:pPr>
      <w:r>
        <w:rPr>
          <w:rFonts w:eastAsia="Times New Roman"/>
        </w:rPr>
        <w:t>Evaluation Process</w:t>
      </w:r>
    </w:p>
    <w:p w:rsidR="009347BA" w:rsidRPr="008D56DE" w:rsidRDefault="6924E9DA" w:rsidP="009347BA">
      <w:pPr>
        <w:spacing w:after="0" w:line="264" w:lineRule="auto"/>
        <w:rPr>
          <w:rFonts w:ascii="Times New Roman" w:eastAsia="Times New Roman" w:hAnsi="Times New Roman" w:cs="Times New Roman"/>
          <w:sz w:val="24"/>
          <w:szCs w:val="24"/>
        </w:rPr>
      </w:pPr>
      <w:r w:rsidRPr="6924E9DA">
        <w:rPr>
          <w:rFonts w:ascii="Times New Roman" w:eastAsia="Times New Roman" w:hAnsi="Times New Roman" w:cs="Times New Roman"/>
          <w:sz w:val="24"/>
          <w:szCs w:val="24"/>
        </w:rPr>
        <w:t>Tenure track faculty will first be assessed by the Executive Committee. This stage of the review process will be facilitated by the Chair of the Executive Committee. The Committee will rate all tenure-track faculty in the School on a 5-point scale as clarified in the section below (entitled Evaluation Ratings). The faculty reviews will be forwarded to the Director. The Director will then consider these evaluations in formulating the final performance assessment for each faculty member.</w:t>
      </w:r>
    </w:p>
    <w:p w:rsidR="009347BA" w:rsidRPr="008D56DE" w:rsidRDefault="009347BA" w:rsidP="7C8737DB">
      <w:pPr>
        <w:spacing w:after="0" w:line="264" w:lineRule="auto"/>
        <w:rPr>
          <w:rFonts w:ascii="Times New Roman" w:eastAsia="Times New Roman" w:hAnsi="Times New Roman" w:cs="Times New Roman"/>
          <w:sz w:val="24"/>
          <w:szCs w:val="24"/>
        </w:rPr>
      </w:pPr>
    </w:p>
    <w:p w:rsidR="007C0E80" w:rsidRPr="008D56DE" w:rsidRDefault="007C0E80" w:rsidP="007C0E80">
      <w:pPr>
        <w:pStyle w:val="Heading2"/>
        <w:rPr>
          <w:rFonts w:eastAsia="Times New Roman"/>
        </w:rPr>
      </w:pPr>
      <w:r>
        <w:rPr>
          <w:rFonts w:eastAsia="Times New Roman"/>
        </w:rPr>
        <w:t>Evaluation Ratings</w:t>
      </w:r>
    </w:p>
    <w:p w:rsidR="007C0E80" w:rsidRDefault="7C8737DB" w:rsidP="007C0E80">
      <w:pPr>
        <w:spacing w:after="0" w:line="264" w:lineRule="auto"/>
        <w:rPr>
          <w:rFonts w:ascii="Times New Roman" w:eastAsia="Times New Roman" w:hAnsi="Times New Roman" w:cs="Times New Roman"/>
          <w:sz w:val="24"/>
          <w:szCs w:val="24"/>
        </w:rPr>
      </w:pPr>
      <w:r w:rsidRPr="7C8737DB">
        <w:rPr>
          <w:rFonts w:ascii="Times New Roman" w:eastAsia="Times New Roman" w:hAnsi="Times New Roman" w:cs="Times New Roman"/>
          <w:sz w:val="24"/>
          <w:szCs w:val="24"/>
        </w:rPr>
        <w:t xml:space="preserve">Faculty will be evaluated for their contributions in research, teaching, and service.  The ultimate responsibility for the annual review process and outcomes lies with the School </w:t>
      </w:r>
      <w:r w:rsidR="00FC5C86">
        <w:rPr>
          <w:rFonts w:ascii="Times New Roman" w:eastAsia="Times New Roman" w:hAnsi="Times New Roman" w:cs="Times New Roman"/>
          <w:sz w:val="24"/>
          <w:szCs w:val="24"/>
        </w:rPr>
        <w:t>D</w:t>
      </w:r>
      <w:r w:rsidR="00FC5C86" w:rsidRPr="7C8737DB">
        <w:rPr>
          <w:rFonts w:ascii="Times New Roman" w:eastAsia="Times New Roman" w:hAnsi="Times New Roman" w:cs="Times New Roman"/>
          <w:sz w:val="24"/>
          <w:szCs w:val="24"/>
        </w:rPr>
        <w:t xml:space="preserve">irector </w:t>
      </w:r>
      <w:r w:rsidRPr="7C8737DB">
        <w:rPr>
          <w:rFonts w:ascii="Times New Roman" w:eastAsia="Times New Roman" w:hAnsi="Times New Roman" w:cs="Times New Roman"/>
          <w:sz w:val="24"/>
          <w:szCs w:val="24"/>
        </w:rPr>
        <w:t xml:space="preserve">with input from the faculty. </w:t>
      </w:r>
    </w:p>
    <w:p w:rsidR="007C0E80" w:rsidRDefault="007C0E80" w:rsidP="007C0E80">
      <w:pPr>
        <w:spacing w:after="0" w:line="264" w:lineRule="auto"/>
        <w:rPr>
          <w:rFonts w:ascii="Times New Roman" w:eastAsia="Times New Roman" w:hAnsi="Times New Roman" w:cs="Times New Roman"/>
          <w:sz w:val="24"/>
          <w:szCs w:val="24"/>
        </w:rPr>
      </w:pPr>
    </w:p>
    <w:p w:rsidR="00854DFE" w:rsidRPr="008D56DE" w:rsidRDefault="7C8737DB" w:rsidP="00854DFE">
      <w:pPr>
        <w:spacing w:after="0" w:line="264" w:lineRule="auto"/>
        <w:rPr>
          <w:rFonts w:ascii="Times New Roman" w:eastAsia="Times New Roman" w:hAnsi="Times New Roman" w:cs="Times New Roman"/>
          <w:sz w:val="24"/>
          <w:szCs w:val="24"/>
        </w:rPr>
      </w:pPr>
      <w:r w:rsidRPr="7C8737DB">
        <w:rPr>
          <w:rFonts w:ascii="Times New Roman" w:eastAsia="Times New Roman" w:hAnsi="Times New Roman" w:cs="Times New Roman"/>
          <w:sz w:val="24"/>
          <w:szCs w:val="24"/>
        </w:rPr>
        <w:t>Within each area, faculty members will be evaluated as specified in the below section on Evaluation Criteria.  For each area, faculty performance will be evaluated as: Extraordinary Performance (5), Exceeds Expectation</w:t>
      </w:r>
      <w:r w:rsidR="00FC5C86">
        <w:rPr>
          <w:rFonts w:ascii="Times New Roman" w:eastAsia="Times New Roman" w:hAnsi="Times New Roman" w:cs="Times New Roman"/>
          <w:sz w:val="24"/>
          <w:szCs w:val="24"/>
        </w:rPr>
        <w:t>s</w:t>
      </w:r>
      <w:r w:rsidRPr="7C8737DB">
        <w:rPr>
          <w:rFonts w:ascii="Times New Roman" w:eastAsia="Times New Roman" w:hAnsi="Times New Roman" w:cs="Times New Roman"/>
          <w:sz w:val="24"/>
          <w:szCs w:val="24"/>
        </w:rPr>
        <w:t xml:space="preserve"> (4), Meets Expectation</w:t>
      </w:r>
      <w:r w:rsidR="00FC5C86">
        <w:rPr>
          <w:rFonts w:ascii="Times New Roman" w:eastAsia="Times New Roman" w:hAnsi="Times New Roman" w:cs="Times New Roman"/>
          <w:sz w:val="24"/>
          <w:szCs w:val="24"/>
        </w:rPr>
        <w:t>s</w:t>
      </w:r>
      <w:r w:rsidRPr="7C8737DB">
        <w:rPr>
          <w:rFonts w:ascii="Times New Roman" w:eastAsia="Times New Roman" w:hAnsi="Times New Roman" w:cs="Times New Roman"/>
          <w:sz w:val="24"/>
          <w:szCs w:val="24"/>
        </w:rPr>
        <w:t xml:space="preserve"> (3), Partially Meets Expectations (2), and Unacceptable </w:t>
      </w:r>
      <w:r w:rsidR="00FC5C86">
        <w:rPr>
          <w:rFonts w:ascii="Times New Roman" w:eastAsia="Times New Roman" w:hAnsi="Times New Roman" w:cs="Times New Roman"/>
          <w:sz w:val="24"/>
          <w:szCs w:val="24"/>
        </w:rPr>
        <w:t>P</w:t>
      </w:r>
      <w:r w:rsidR="00FC5C86" w:rsidRPr="7C8737DB">
        <w:rPr>
          <w:rFonts w:ascii="Times New Roman" w:eastAsia="Times New Roman" w:hAnsi="Times New Roman" w:cs="Times New Roman"/>
          <w:sz w:val="24"/>
          <w:szCs w:val="24"/>
        </w:rPr>
        <w:t xml:space="preserve">erformance </w:t>
      </w:r>
      <w:r w:rsidRPr="7C8737DB">
        <w:rPr>
          <w:rFonts w:ascii="Times New Roman" w:eastAsia="Times New Roman" w:hAnsi="Times New Roman" w:cs="Times New Roman"/>
          <w:sz w:val="24"/>
          <w:szCs w:val="24"/>
        </w:rPr>
        <w:t xml:space="preserve">(1).  </w:t>
      </w:r>
      <w:r w:rsidR="00854DFE">
        <w:rPr>
          <w:rFonts w:ascii="Times New Roman" w:eastAsia="Times New Roman" w:hAnsi="Times New Roman" w:cs="Times New Roman"/>
          <w:sz w:val="24"/>
          <w:szCs w:val="24"/>
        </w:rPr>
        <w:t xml:space="preserve">Any faculty member receiving a score of “1” or “2” will receive written feedback from the </w:t>
      </w:r>
      <w:r w:rsidR="00FC5C86">
        <w:rPr>
          <w:rFonts w:ascii="Times New Roman" w:eastAsia="Times New Roman" w:hAnsi="Times New Roman" w:cs="Times New Roman"/>
          <w:sz w:val="24"/>
          <w:szCs w:val="24"/>
        </w:rPr>
        <w:t>C</w:t>
      </w:r>
      <w:r w:rsidR="00854DFE">
        <w:rPr>
          <w:rFonts w:ascii="Times New Roman" w:eastAsia="Times New Roman" w:hAnsi="Times New Roman" w:cs="Times New Roman"/>
          <w:sz w:val="24"/>
          <w:szCs w:val="24"/>
        </w:rPr>
        <w:t xml:space="preserve">ommittee </w:t>
      </w:r>
      <w:r w:rsidR="00FC5C86">
        <w:rPr>
          <w:rFonts w:ascii="Times New Roman" w:eastAsia="Times New Roman" w:hAnsi="Times New Roman" w:cs="Times New Roman"/>
          <w:sz w:val="24"/>
          <w:szCs w:val="24"/>
        </w:rPr>
        <w:t xml:space="preserve">explaining </w:t>
      </w:r>
      <w:r w:rsidR="00854DFE">
        <w:rPr>
          <w:rFonts w:ascii="Times New Roman" w:eastAsia="Times New Roman" w:hAnsi="Times New Roman" w:cs="Times New Roman"/>
          <w:sz w:val="24"/>
          <w:szCs w:val="24"/>
        </w:rPr>
        <w:t xml:space="preserve">the reason(s) for the score. </w:t>
      </w:r>
      <w:r w:rsidR="000039CF">
        <w:rPr>
          <w:rFonts w:ascii="Times New Roman" w:eastAsia="Times New Roman" w:hAnsi="Times New Roman" w:cs="Times New Roman"/>
          <w:sz w:val="24"/>
          <w:szCs w:val="24"/>
        </w:rPr>
        <w:t xml:space="preserve">The written feedback will be provided to the Director, who in turn will provide it to the faculty member. </w:t>
      </w:r>
    </w:p>
    <w:p w:rsidR="007C0E80" w:rsidRDefault="007C0E80" w:rsidP="007C0E80">
      <w:pPr>
        <w:spacing w:after="0" w:line="264" w:lineRule="auto"/>
        <w:rPr>
          <w:rFonts w:ascii="Times New Roman" w:eastAsia="Times New Roman" w:hAnsi="Times New Roman" w:cs="Times New Roman"/>
          <w:sz w:val="24"/>
          <w:szCs w:val="24"/>
        </w:rPr>
      </w:pPr>
    </w:p>
    <w:p w:rsidR="007C0E80" w:rsidRPr="008D56DE" w:rsidRDefault="7C8737DB" w:rsidP="7C8737DB">
      <w:pPr>
        <w:spacing w:after="0" w:line="264" w:lineRule="auto"/>
        <w:rPr>
          <w:rFonts w:ascii="Times New Roman" w:eastAsia="Times New Roman" w:hAnsi="Times New Roman" w:cs="Times New Roman"/>
          <w:sz w:val="24"/>
          <w:szCs w:val="24"/>
        </w:rPr>
      </w:pPr>
      <w:r w:rsidRPr="7C8737DB">
        <w:rPr>
          <w:rFonts w:ascii="Times New Roman" w:eastAsia="Times New Roman" w:hAnsi="Times New Roman" w:cs="Times New Roman"/>
          <w:sz w:val="24"/>
          <w:szCs w:val="24"/>
        </w:rPr>
        <w:t xml:space="preserve"> </w:t>
      </w:r>
    </w:p>
    <w:p w:rsidR="00915D83" w:rsidRDefault="7C8737DB" w:rsidP="007C0E80">
      <w:pPr>
        <w:spacing w:after="0" w:line="264" w:lineRule="auto"/>
        <w:rPr>
          <w:rFonts w:ascii="Times New Roman" w:eastAsia="Times New Roman" w:hAnsi="Times New Roman" w:cs="Times New Roman"/>
          <w:sz w:val="24"/>
          <w:szCs w:val="24"/>
        </w:rPr>
      </w:pPr>
      <w:r w:rsidRPr="7C8737DB">
        <w:rPr>
          <w:rFonts w:ascii="Times New Roman" w:eastAsia="Times New Roman" w:hAnsi="Times New Roman" w:cs="Times New Roman"/>
          <w:sz w:val="24"/>
          <w:szCs w:val="24"/>
        </w:rPr>
        <w:t>Overall evaluations of Extraordinary Performance (5), Exceeds Expectation</w:t>
      </w:r>
      <w:r w:rsidR="00FC5C86">
        <w:rPr>
          <w:rFonts w:ascii="Times New Roman" w:eastAsia="Times New Roman" w:hAnsi="Times New Roman" w:cs="Times New Roman"/>
          <w:sz w:val="24"/>
          <w:szCs w:val="24"/>
        </w:rPr>
        <w:t>s</w:t>
      </w:r>
      <w:r w:rsidRPr="7C8737DB">
        <w:rPr>
          <w:rFonts w:ascii="Times New Roman" w:eastAsia="Times New Roman" w:hAnsi="Times New Roman" w:cs="Times New Roman"/>
          <w:sz w:val="24"/>
          <w:szCs w:val="24"/>
        </w:rPr>
        <w:t xml:space="preserve"> (4), Meets Expectation</w:t>
      </w:r>
      <w:r w:rsidR="00FC5C86">
        <w:rPr>
          <w:rFonts w:ascii="Times New Roman" w:eastAsia="Times New Roman" w:hAnsi="Times New Roman" w:cs="Times New Roman"/>
          <w:sz w:val="24"/>
          <w:szCs w:val="24"/>
        </w:rPr>
        <w:t>s</w:t>
      </w:r>
      <w:r w:rsidRPr="7C8737DB">
        <w:rPr>
          <w:rFonts w:ascii="Times New Roman" w:eastAsia="Times New Roman" w:hAnsi="Times New Roman" w:cs="Times New Roman"/>
          <w:sz w:val="24"/>
          <w:szCs w:val="24"/>
        </w:rPr>
        <w:t xml:space="preserve"> (3), Partially Meets Expectations (2), and Unacceptable performance (1) should be determined by combining the evaluations for teaching, research, and service in accord with the FTE assigned to each.   </w:t>
      </w:r>
    </w:p>
    <w:p w:rsidR="00254018" w:rsidRDefault="00254018" w:rsidP="007E5866">
      <w:pPr>
        <w:pStyle w:val="Heading2"/>
        <w:rPr>
          <w:rFonts w:eastAsia="Times New Roman"/>
        </w:rPr>
      </w:pPr>
    </w:p>
    <w:p w:rsidR="009347BA" w:rsidRPr="008D56DE" w:rsidRDefault="7C8737DB" w:rsidP="007E5866">
      <w:pPr>
        <w:pStyle w:val="Heading2"/>
        <w:rPr>
          <w:rFonts w:eastAsia="Times New Roman"/>
        </w:rPr>
      </w:pPr>
      <w:r w:rsidRPr="7C8737DB">
        <w:rPr>
          <w:rFonts w:eastAsia="Times New Roman"/>
        </w:rPr>
        <w:t>Evaluation Criteria</w:t>
      </w:r>
    </w:p>
    <w:p w:rsidR="00AA1A9A" w:rsidRPr="008D56DE" w:rsidRDefault="78742703" w:rsidP="007E5866">
      <w:pPr>
        <w:pStyle w:val="Heading3"/>
        <w:rPr>
          <w:rFonts w:eastAsia="Times New Roman"/>
        </w:rPr>
      </w:pPr>
      <w:r w:rsidRPr="78742703">
        <w:rPr>
          <w:rFonts w:eastAsia="Times New Roman"/>
        </w:rPr>
        <w:t>Assessment of Research and Scholarship</w:t>
      </w:r>
    </w:p>
    <w:p w:rsidR="001671DC" w:rsidRPr="00FC5C86" w:rsidRDefault="6924E9DA" w:rsidP="78742703">
      <w:pPr>
        <w:spacing w:after="0" w:line="264" w:lineRule="auto"/>
        <w:rPr>
          <w:rFonts w:ascii="Times New Roman" w:eastAsia="Times New Roman" w:hAnsi="Times New Roman" w:cs="Times New Roman"/>
          <w:color w:val="000000" w:themeColor="text1"/>
          <w:sz w:val="24"/>
          <w:szCs w:val="24"/>
          <w:lang w:val="en-GB"/>
        </w:rPr>
      </w:pPr>
      <w:r w:rsidRPr="6924E9DA">
        <w:rPr>
          <w:rFonts w:ascii="Times New Roman" w:eastAsia="Times New Roman" w:hAnsi="Times New Roman" w:cs="Times New Roman"/>
          <w:color w:val="000000" w:themeColor="text1"/>
          <w:sz w:val="24"/>
          <w:szCs w:val="24"/>
          <w:lang w:val="en-GB"/>
        </w:rPr>
        <w:t>Because productivity in research and scholarship takes many different forms, meeting expectations in research and scholarship can take on many different forms. In general, faculty must demonstrate consistent productivity assessed across one or more of the three primary indicators, consistent with the assessment criteria stated in the School’s bylaws: publishing books at scholarly presses, publishing peer-reviewed journal articles, and applications and awards for external funding to support research and scholarship. Given the presence of faculty who specialize in law, accommodations will be made for publishing in law journals (which are not typically peer reviewed) since these represent an appropriate outlet for legal scholars to publish their work. Textbooks are </w:t>
      </w:r>
      <w:r w:rsidRPr="6924E9DA">
        <w:rPr>
          <w:rFonts w:ascii="Times New Roman" w:eastAsia="Times New Roman" w:hAnsi="Times New Roman" w:cs="Times New Roman"/>
          <w:i/>
          <w:iCs/>
          <w:color w:val="000000" w:themeColor="text1"/>
          <w:sz w:val="24"/>
          <w:szCs w:val="24"/>
          <w:lang w:val="en-GB"/>
        </w:rPr>
        <w:t>not</w:t>
      </w:r>
      <w:r w:rsidRPr="6924E9DA">
        <w:rPr>
          <w:rFonts w:ascii="Times New Roman" w:eastAsia="Times New Roman" w:hAnsi="Times New Roman" w:cs="Times New Roman"/>
          <w:color w:val="000000" w:themeColor="text1"/>
          <w:sz w:val="24"/>
          <w:szCs w:val="24"/>
          <w:lang w:val="en-GB"/>
        </w:rPr>
        <w:t xml:space="preserve"> included under this heading. Instead, they are included in the evaluation of teaching. </w:t>
      </w:r>
    </w:p>
    <w:p w:rsidR="001671DC" w:rsidRPr="00FC5C86" w:rsidRDefault="001671DC" w:rsidP="001671DC">
      <w:pPr>
        <w:shd w:val="clear" w:color="auto" w:fill="FFFFFF"/>
        <w:spacing w:after="0" w:line="264" w:lineRule="auto"/>
        <w:rPr>
          <w:rFonts w:ascii="Times New Roman" w:eastAsia="Times New Roman" w:hAnsi="Times New Roman" w:cs="Times New Roman"/>
          <w:color w:val="000000" w:themeColor="text1"/>
          <w:sz w:val="24"/>
          <w:szCs w:val="24"/>
          <w:lang w:val="en-GB"/>
        </w:rPr>
      </w:pPr>
    </w:p>
    <w:p w:rsidR="001671DC" w:rsidRPr="008D56DE" w:rsidRDefault="7C8737DB" w:rsidP="200C4643">
      <w:pPr>
        <w:shd w:val="clear" w:color="auto" w:fill="FFFFFF" w:themeFill="background1"/>
        <w:spacing w:after="0" w:line="264" w:lineRule="auto"/>
        <w:rPr>
          <w:rFonts w:ascii="Times New Roman" w:eastAsia="Times New Roman" w:hAnsi="Times New Roman" w:cs="Times New Roman"/>
          <w:color w:val="000000"/>
          <w:sz w:val="24"/>
          <w:szCs w:val="24"/>
          <w:lang w:val="en-GB"/>
        </w:rPr>
      </w:pPr>
      <w:r w:rsidRPr="7C8737DB">
        <w:rPr>
          <w:rFonts w:ascii="Times New Roman" w:eastAsia="Times New Roman" w:hAnsi="Times New Roman" w:cs="Times New Roman"/>
          <w:color w:val="000000" w:themeColor="text1"/>
          <w:sz w:val="24"/>
          <w:szCs w:val="24"/>
          <w:lang w:val="en-GB"/>
        </w:rPr>
        <w:t>Secondary indicators of research and scholarship productivity include edited books, book chapters, applying for funding, technical reports, and non-peer-reviewed articles. Faculty members are encouraged to include all activities they believe should be considered as secondary indicators for all parts of the evaluation rubric. Secondary indicators are purposefully left open-ended because it is not possible to anticipate the varied ways in which faculty may contribute to the mission of the school and we want to allow room for unanticipated valuable activities to be rewarded. </w:t>
      </w:r>
    </w:p>
    <w:p w:rsidR="001671DC" w:rsidRPr="008D56DE" w:rsidRDefault="001671DC" w:rsidP="001671DC">
      <w:pPr>
        <w:shd w:val="clear" w:color="auto" w:fill="FFFFFF"/>
        <w:spacing w:after="0" w:line="264" w:lineRule="auto"/>
        <w:rPr>
          <w:rFonts w:ascii="Times New Roman" w:eastAsia="Times New Roman" w:hAnsi="Times New Roman" w:cs="Times New Roman"/>
          <w:color w:val="000000"/>
          <w:sz w:val="24"/>
          <w:szCs w:val="24"/>
          <w:lang w:val="en-GB"/>
        </w:rPr>
      </w:pPr>
    </w:p>
    <w:p w:rsidR="001671DC" w:rsidRPr="008D56DE" w:rsidRDefault="6924E9DA" w:rsidP="1C30C1DB">
      <w:pPr>
        <w:shd w:val="clear" w:color="auto" w:fill="FFFFFF" w:themeFill="background1"/>
        <w:spacing w:after="0" w:line="264" w:lineRule="auto"/>
        <w:rPr>
          <w:rFonts w:ascii="Times New Roman" w:eastAsia="Times New Roman" w:hAnsi="Times New Roman" w:cs="Times New Roman"/>
          <w:color w:val="000000" w:themeColor="text1"/>
          <w:sz w:val="24"/>
          <w:szCs w:val="24"/>
        </w:rPr>
      </w:pPr>
      <w:r w:rsidRPr="6924E9DA">
        <w:rPr>
          <w:rFonts w:ascii="Times New Roman" w:hAnsi="Times New Roman" w:cs="Times New Roman"/>
          <w:color w:val="000000" w:themeColor="text1"/>
          <w:sz w:val="24"/>
          <w:szCs w:val="24"/>
        </w:rPr>
        <w:t xml:space="preserve">Research and scholarship that is solo-authored and/or first-authored will be weighted more heavily, unless otherwise noted by the faculty member. </w:t>
      </w:r>
      <w:r w:rsidR="003145E2" w:rsidRPr="003145E2">
        <w:rPr>
          <w:rFonts w:ascii="Times New Roman" w:hAnsi="Times New Roman" w:cs="Times New Roman"/>
          <w:color w:val="000000" w:themeColor="text1"/>
          <w:sz w:val="24"/>
          <w:szCs w:val="24"/>
        </w:rPr>
        <w:t xml:space="preserve">Publications with a student as the first author are also weighted more heavily. </w:t>
      </w:r>
      <w:r w:rsidRPr="6924E9DA">
        <w:rPr>
          <w:rFonts w:ascii="Times New Roman" w:hAnsi="Times New Roman" w:cs="Times New Roman"/>
          <w:color w:val="000000" w:themeColor="text1"/>
          <w:sz w:val="24"/>
          <w:szCs w:val="24"/>
        </w:rPr>
        <w:t>Co-authored work will be weighted based on the order of authorship unless otherwise noted by the faculty member. </w:t>
      </w:r>
      <w:r w:rsidRPr="6924E9DA">
        <w:rPr>
          <w:rFonts w:ascii="Times New Roman" w:eastAsia="Times New Roman" w:hAnsi="Times New Roman" w:cs="Times New Roman"/>
          <w:color w:val="000000" w:themeColor="text1"/>
          <w:sz w:val="24"/>
          <w:szCs w:val="24"/>
          <w:lang w:val="en-GB"/>
        </w:rPr>
        <w:t>Journal impact factor will be taken into consideration as an indicator of excellence.</w:t>
      </w:r>
    </w:p>
    <w:p w:rsidR="001671DC" w:rsidRPr="008D56DE" w:rsidRDefault="001671DC" w:rsidP="001671DC">
      <w:pPr>
        <w:spacing w:after="0" w:line="264" w:lineRule="auto"/>
        <w:rPr>
          <w:rFonts w:ascii="Times New Roman" w:eastAsia="Times New Roman" w:hAnsi="Times New Roman" w:cs="Times New Roman"/>
          <w:color w:val="000000"/>
          <w:sz w:val="24"/>
          <w:szCs w:val="24"/>
        </w:rPr>
      </w:pPr>
    </w:p>
    <w:p w:rsidR="00AA1A9A" w:rsidRPr="008D56DE" w:rsidRDefault="00AA1A9A" w:rsidP="007E5866">
      <w:pPr>
        <w:pStyle w:val="Heading3"/>
        <w:rPr>
          <w:rFonts w:eastAsia="Times New Roman"/>
        </w:rPr>
      </w:pPr>
      <w:r w:rsidRPr="008D56DE">
        <w:rPr>
          <w:rFonts w:eastAsia="Times New Roman"/>
        </w:rPr>
        <w:t>Assessment of Teaching / Instruction</w:t>
      </w:r>
    </w:p>
    <w:p w:rsidR="00710DF5" w:rsidRPr="008D56DE" w:rsidRDefault="00710DF5" w:rsidP="00710DF5">
      <w:pPr>
        <w:autoSpaceDE w:val="0"/>
        <w:autoSpaceDN w:val="0"/>
        <w:adjustRightInd w:val="0"/>
        <w:spacing w:after="0" w:line="264" w:lineRule="auto"/>
        <w:rPr>
          <w:rFonts w:ascii="Times New Roman" w:eastAsia="Times New Roman" w:hAnsi="Times New Roman" w:cs="Times New Roman"/>
          <w:color w:val="000000"/>
          <w:sz w:val="24"/>
          <w:szCs w:val="24"/>
        </w:rPr>
      </w:pPr>
      <w:r w:rsidRPr="008D56DE">
        <w:rPr>
          <w:rFonts w:ascii="Times New Roman" w:eastAsia="Times New Roman" w:hAnsi="Times New Roman" w:cs="Times New Roman"/>
          <w:color w:val="000000"/>
          <w:sz w:val="24"/>
          <w:szCs w:val="24"/>
        </w:rPr>
        <w:t>The evaluation of teaching will focus on three primary dimensions: performance in teaching classes (whether in person or online), mentoring students outside the classroom, and pedagogical activities.</w:t>
      </w:r>
    </w:p>
    <w:p w:rsidR="00710DF5" w:rsidRPr="008D56DE" w:rsidRDefault="00710DF5" w:rsidP="00710DF5">
      <w:pPr>
        <w:autoSpaceDE w:val="0"/>
        <w:autoSpaceDN w:val="0"/>
        <w:adjustRightInd w:val="0"/>
        <w:spacing w:after="0" w:line="264" w:lineRule="auto"/>
        <w:rPr>
          <w:rFonts w:ascii="Times New Roman" w:eastAsia="Times New Roman" w:hAnsi="Times New Roman" w:cs="Times New Roman"/>
          <w:color w:val="000000"/>
          <w:sz w:val="24"/>
          <w:szCs w:val="24"/>
        </w:rPr>
      </w:pPr>
      <w:r w:rsidRPr="008D56DE">
        <w:rPr>
          <w:rFonts w:ascii="Times New Roman" w:eastAsia="Times New Roman" w:hAnsi="Times New Roman" w:cs="Times New Roman"/>
          <w:color w:val="000000"/>
          <w:sz w:val="24"/>
          <w:szCs w:val="24"/>
        </w:rPr>
        <w:t xml:space="preserve"> </w:t>
      </w:r>
    </w:p>
    <w:p w:rsidR="00710DF5" w:rsidRPr="008D56DE" w:rsidRDefault="00710DF5" w:rsidP="00710DF5">
      <w:pPr>
        <w:autoSpaceDE w:val="0"/>
        <w:autoSpaceDN w:val="0"/>
        <w:adjustRightInd w:val="0"/>
        <w:spacing w:after="0" w:line="264" w:lineRule="auto"/>
        <w:rPr>
          <w:rFonts w:ascii="Times New Roman" w:eastAsia="Times New Roman" w:hAnsi="Times New Roman" w:cs="Times New Roman"/>
          <w:color w:val="000000"/>
          <w:sz w:val="24"/>
          <w:szCs w:val="24"/>
        </w:rPr>
      </w:pPr>
      <w:r w:rsidRPr="008D56DE">
        <w:rPr>
          <w:rFonts w:ascii="Times New Roman" w:eastAsia="Times New Roman" w:hAnsi="Times New Roman" w:cs="Times New Roman"/>
          <w:color w:val="000000"/>
          <w:sz w:val="24"/>
          <w:szCs w:val="24"/>
        </w:rPr>
        <w:t xml:space="preserve">The School will assess quality of teaching in classes holistically by relying on at least one of </w:t>
      </w:r>
      <w:r w:rsidR="200C4643" w:rsidRPr="200C4643">
        <w:rPr>
          <w:rFonts w:ascii="Times New Roman" w:eastAsia="Times New Roman" w:hAnsi="Times New Roman" w:cs="Times New Roman"/>
          <w:color w:val="000000" w:themeColor="text1"/>
          <w:sz w:val="24"/>
          <w:szCs w:val="24"/>
        </w:rPr>
        <w:t xml:space="preserve">the following </w:t>
      </w:r>
      <w:r w:rsidRPr="008D56DE">
        <w:rPr>
          <w:rFonts w:ascii="Times New Roman" w:eastAsia="Times New Roman" w:hAnsi="Times New Roman" w:cs="Times New Roman"/>
          <w:color w:val="000000"/>
          <w:sz w:val="24"/>
          <w:szCs w:val="24"/>
        </w:rPr>
        <w:t xml:space="preserve">three </w:t>
      </w:r>
      <w:r w:rsidR="200C4643" w:rsidRPr="200C4643">
        <w:rPr>
          <w:rFonts w:ascii="Times New Roman" w:eastAsia="Times New Roman" w:hAnsi="Times New Roman" w:cs="Times New Roman"/>
          <w:color w:val="000000" w:themeColor="text1"/>
          <w:sz w:val="24"/>
          <w:szCs w:val="24"/>
        </w:rPr>
        <w:t xml:space="preserve">potential </w:t>
      </w:r>
      <w:r w:rsidRPr="008D56DE">
        <w:rPr>
          <w:rFonts w:ascii="Times New Roman" w:eastAsia="Times New Roman" w:hAnsi="Times New Roman" w:cs="Times New Roman"/>
          <w:color w:val="000000"/>
          <w:sz w:val="24"/>
          <w:szCs w:val="24"/>
        </w:rPr>
        <w:t>sources of information: student evaluations, peer evaluations (if available), and brief teaching statements submitted by faculty. Student evaluations of teaching are known to have certain biases and therefore should not be used in isolation to evaluate teaching performance.</w:t>
      </w:r>
      <w:r w:rsidRPr="008D56DE">
        <w:rPr>
          <w:rStyle w:val="EndnoteReference"/>
          <w:rFonts w:ascii="Times New Roman" w:eastAsia="Times New Roman" w:hAnsi="Times New Roman" w:cs="Times New Roman"/>
          <w:color w:val="000000"/>
          <w:sz w:val="24"/>
          <w:szCs w:val="24"/>
        </w:rPr>
        <w:endnoteReference w:id="1"/>
      </w:r>
      <w:r w:rsidRPr="008D56DE">
        <w:rPr>
          <w:rFonts w:ascii="Times New Roman" w:eastAsia="Times New Roman" w:hAnsi="Times New Roman" w:cs="Times New Roman"/>
          <w:color w:val="000000"/>
          <w:sz w:val="24"/>
          <w:szCs w:val="24"/>
        </w:rPr>
        <w:t xml:space="preserve"> Peer evaluations of teaching are a useful source of feedback that can provide information about teaching performance. Self-evaluations provide a third form of feedback that enables the assessment committee to form a well-rounded impression about teaching performance. To facilitate this third component, faculty </w:t>
      </w:r>
      <w:r w:rsidR="200C4643" w:rsidRPr="200C4643">
        <w:rPr>
          <w:rFonts w:ascii="Times New Roman" w:eastAsia="Times New Roman" w:hAnsi="Times New Roman" w:cs="Times New Roman"/>
          <w:color w:val="000000" w:themeColor="text1"/>
          <w:sz w:val="24"/>
          <w:szCs w:val="24"/>
        </w:rPr>
        <w:t xml:space="preserve">may </w:t>
      </w:r>
      <w:r w:rsidRPr="008D56DE">
        <w:rPr>
          <w:rFonts w:ascii="Times New Roman" w:eastAsia="Times New Roman" w:hAnsi="Times New Roman" w:cs="Times New Roman"/>
          <w:color w:val="000000"/>
          <w:sz w:val="24"/>
          <w:szCs w:val="24"/>
        </w:rPr>
        <w:t xml:space="preserve">provide a </w:t>
      </w:r>
      <w:r w:rsidRPr="008D56DE">
        <w:rPr>
          <w:rFonts w:ascii="Times New Roman" w:eastAsia="Times New Roman" w:hAnsi="Times New Roman" w:cs="Times New Roman"/>
          <w:color w:val="000000"/>
          <w:sz w:val="24"/>
          <w:szCs w:val="24"/>
          <w:u w:val="single"/>
        </w:rPr>
        <w:t>brief</w:t>
      </w:r>
      <w:r w:rsidRPr="008D56DE">
        <w:rPr>
          <w:rFonts w:ascii="Times New Roman" w:eastAsia="Times New Roman" w:hAnsi="Times New Roman" w:cs="Times New Roman"/>
          <w:color w:val="000000"/>
          <w:sz w:val="24"/>
          <w:szCs w:val="24"/>
        </w:rPr>
        <w:t xml:space="preserve">, bullet- pointed statement (not to exceed one page) that summarizes experiences, accomplishments, challenges, and goals with regard to teaching performance during the assessment period. </w:t>
      </w:r>
    </w:p>
    <w:p w:rsidR="00710DF5" w:rsidRPr="008D56DE" w:rsidRDefault="00710DF5" w:rsidP="00710DF5">
      <w:pPr>
        <w:autoSpaceDE w:val="0"/>
        <w:autoSpaceDN w:val="0"/>
        <w:adjustRightInd w:val="0"/>
        <w:spacing w:after="0" w:line="264" w:lineRule="auto"/>
        <w:rPr>
          <w:rFonts w:ascii="Times New Roman" w:eastAsia="Times New Roman" w:hAnsi="Times New Roman" w:cs="Times New Roman"/>
          <w:color w:val="000000"/>
          <w:sz w:val="24"/>
          <w:szCs w:val="24"/>
        </w:rPr>
      </w:pPr>
    </w:p>
    <w:p w:rsidR="00710DF5" w:rsidRPr="008D56DE" w:rsidRDefault="6924E9DA" w:rsidP="00710DF5">
      <w:pPr>
        <w:autoSpaceDE w:val="0"/>
        <w:autoSpaceDN w:val="0"/>
        <w:adjustRightInd w:val="0"/>
        <w:spacing w:after="0" w:line="264" w:lineRule="auto"/>
        <w:rPr>
          <w:rFonts w:ascii="Times New Roman" w:hAnsi="Times New Roman" w:cs="Times New Roman"/>
          <w:sz w:val="24"/>
          <w:szCs w:val="24"/>
        </w:rPr>
      </w:pPr>
      <w:r w:rsidRPr="6924E9DA">
        <w:rPr>
          <w:rFonts w:ascii="Times New Roman" w:eastAsia="Times New Roman" w:hAnsi="Times New Roman" w:cs="Times New Roman"/>
          <w:color w:val="000000" w:themeColor="text1"/>
          <w:sz w:val="24"/>
          <w:szCs w:val="24"/>
        </w:rPr>
        <w:t>A second dimension of teaching performance is mentoring students via dissertations, theses, publications, including students in funded and unfunded research projects, independent studies, and other types of teaching that occur outside the classroom. The School encourages active involvement on dissertation and thesis committees, joint research projects that provide students with research opportunities, publishing with students, and mentoring students in other ways. This information can be summarized in the faculty member’s teaching statement or listed on their CV.</w:t>
      </w:r>
    </w:p>
    <w:p w:rsidR="00710DF5" w:rsidRPr="008D56DE" w:rsidRDefault="00710DF5" w:rsidP="00710DF5">
      <w:pPr>
        <w:spacing w:after="0" w:line="264" w:lineRule="auto"/>
        <w:rPr>
          <w:rFonts w:ascii="Times New Roman" w:hAnsi="Times New Roman" w:cs="Times New Roman"/>
          <w:sz w:val="24"/>
          <w:szCs w:val="24"/>
        </w:rPr>
      </w:pPr>
    </w:p>
    <w:p w:rsidR="00710DF5" w:rsidRDefault="6924E9DA" w:rsidP="00710DF5">
      <w:pPr>
        <w:spacing w:after="0" w:line="264" w:lineRule="auto"/>
        <w:rPr>
          <w:rFonts w:ascii="Times New Roman" w:eastAsia="Times New Roman" w:hAnsi="Times New Roman" w:cs="Times New Roman"/>
          <w:color w:val="000000"/>
          <w:sz w:val="24"/>
          <w:szCs w:val="24"/>
        </w:rPr>
      </w:pPr>
      <w:r w:rsidRPr="6924E9DA">
        <w:rPr>
          <w:rFonts w:ascii="Times New Roman" w:hAnsi="Times New Roman" w:cs="Times New Roman"/>
          <w:sz w:val="24"/>
          <w:szCs w:val="24"/>
        </w:rPr>
        <w:t>A third dimension of teaching performance includes pedagogical or teaching-related publications, authoring or editing textbooks or other books that are primarily intended for use in teaching (as opposed to books that make a substantive research contribution), creating new courses, new course preparations, refreshing courses, participating in student workshops, and other activities that support the School’s teaching mission.</w:t>
      </w:r>
      <w:r w:rsidRPr="6924E9DA">
        <w:rPr>
          <w:rFonts w:ascii="Times New Roman" w:eastAsia="Times New Roman" w:hAnsi="Times New Roman" w:cs="Times New Roman"/>
          <w:color w:val="000000" w:themeColor="text1"/>
          <w:sz w:val="24"/>
          <w:szCs w:val="24"/>
        </w:rPr>
        <w:t xml:space="preserve"> This information can also be summarized in the faculty member’s teaching statement or listed on their CV.</w:t>
      </w:r>
    </w:p>
    <w:p w:rsidR="00782E83" w:rsidRPr="008D56DE" w:rsidRDefault="00782E83" w:rsidP="00710DF5">
      <w:pPr>
        <w:spacing w:after="0" w:line="264" w:lineRule="auto"/>
        <w:rPr>
          <w:rFonts w:ascii="Times New Roman" w:eastAsia="Times New Roman" w:hAnsi="Times New Roman" w:cs="Times New Roman"/>
          <w:color w:val="000000"/>
          <w:sz w:val="24"/>
          <w:szCs w:val="24"/>
        </w:rPr>
      </w:pPr>
    </w:p>
    <w:p w:rsidR="00E22DB9" w:rsidRPr="008D56DE" w:rsidRDefault="00E22DB9" w:rsidP="007E5866">
      <w:pPr>
        <w:pStyle w:val="Heading3"/>
        <w:rPr>
          <w:rFonts w:eastAsia="Times New Roman"/>
        </w:rPr>
      </w:pPr>
      <w:r w:rsidRPr="008D56DE">
        <w:rPr>
          <w:rFonts w:eastAsia="Times New Roman"/>
        </w:rPr>
        <w:t>Assessment of Service</w:t>
      </w:r>
    </w:p>
    <w:p w:rsidR="00B77F17" w:rsidRPr="008D56DE" w:rsidRDefault="00B77F17" w:rsidP="00B77F17">
      <w:pPr>
        <w:autoSpaceDE w:val="0"/>
        <w:autoSpaceDN w:val="0"/>
        <w:adjustRightInd w:val="0"/>
        <w:spacing w:after="0" w:line="240" w:lineRule="auto"/>
        <w:rPr>
          <w:rFonts w:ascii="Times New Roman" w:hAnsi="Times New Roman" w:cs="Times New Roman"/>
          <w:color w:val="000000"/>
          <w:sz w:val="24"/>
          <w:szCs w:val="24"/>
        </w:rPr>
      </w:pPr>
      <w:r w:rsidRPr="008D56DE">
        <w:rPr>
          <w:rFonts w:ascii="Times New Roman" w:hAnsi="Times New Roman" w:cs="Times New Roman"/>
          <w:color w:val="000000"/>
          <w:sz w:val="24"/>
          <w:szCs w:val="24"/>
        </w:rPr>
        <w:t>Service activities are a vital part of a faculty member’s responsibilities. Faculty members are expected to perform service activities that benefit the institution (the school, college, and university), the profession, and the community. All faculty members must provide evidence helpful for evaluating their service activities. Expectations regarding service will necessarily be lower for non-tenured faculty.</w:t>
      </w:r>
    </w:p>
    <w:p w:rsidR="00B77F17" w:rsidRPr="008D56DE" w:rsidRDefault="00B77F17" w:rsidP="00B77F17">
      <w:pPr>
        <w:autoSpaceDE w:val="0"/>
        <w:autoSpaceDN w:val="0"/>
        <w:adjustRightInd w:val="0"/>
        <w:spacing w:after="0" w:line="240" w:lineRule="auto"/>
        <w:rPr>
          <w:rFonts w:ascii="Times New Roman" w:hAnsi="Times New Roman" w:cs="Times New Roman"/>
          <w:color w:val="000000"/>
          <w:sz w:val="24"/>
          <w:szCs w:val="24"/>
        </w:rPr>
      </w:pPr>
    </w:p>
    <w:p w:rsidR="00B77F17" w:rsidRPr="007E5866" w:rsidRDefault="00B77F17" w:rsidP="007E5866">
      <w:pPr>
        <w:pStyle w:val="NoSpacing"/>
        <w:rPr>
          <w:rFonts w:ascii="Times New Roman" w:hAnsi="Times New Roman" w:cs="Times New Roman"/>
          <w:sz w:val="24"/>
          <w:szCs w:val="24"/>
        </w:rPr>
      </w:pPr>
      <w:r w:rsidRPr="007E5866">
        <w:rPr>
          <w:rStyle w:val="Heading4Char"/>
          <w:rFonts w:ascii="Times New Roman" w:eastAsiaTheme="minorHAnsi" w:hAnsi="Times New Roman" w:cs="Times New Roman"/>
          <w:i w:val="0"/>
          <w:iCs w:val="0"/>
          <w:color w:val="auto"/>
          <w:sz w:val="24"/>
          <w:szCs w:val="24"/>
        </w:rPr>
        <w:t>Institutional service</w:t>
      </w:r>
      <w:r w:rsidRPr="007E5866">
        <w:rPr>
          <w:rFonts w:ascii="Times New Roman" w:hAnsi="Times New Roman" w:cs="Times New Roman"/>
          <w:sz w:val="24"/>
          <w:szCs w:val="24"/>
        </w:rPr>
        <w:t xml:space="preserve"> includes (but is not limited to):</w:t>
      </w:r>
    </w:p>
    <w:p w:rsidR="00B77F17" w:rsidRPr="007E5866" w:rsidRDefault="6924E9DA" w:rsidP="007E5866">
      <w:pPr>
        <w:pStyle w:val="NoSpacing"/>
        <w:rPr>
          <w:rFonts w:ascii="Times New Roman" w:hAnsi="Times New Roman" w:cs="Times New Roman"/>
          <w:sz w:val="24"/>
          <w:szCs w:val="24"/>
        </w:rPr>
      </w:pPr>
      <w:r w:rsidRPr="6924E9DA">
        <w:rPr>
          <w:rFonts w:ascii="Times New Roman" w:hAnsi="Times New Roman" w:cs="Times New Roman"/>
          <w:sz w:val="24"/>
          <w:szCs w:val="24"/>
        </w:rPr>
        <w:t>Participating on school, college, and university committees.</w:t>
      </w:r>
    </w:p>
    <w:p w:rsidR="00B77F17" w:rsidRPr="007E5866" w:rsidRDefault="00B77F17" w:rsidP="007E5866">
      <w:pPr>
        <w:pStyle w:val="NoSpacing"/>
        <w:rPr>
          <w:rFonts w:ascii="Times New Roman" w:hAnsi="Times New Roman" w:cs="Times New Roman"/>
          <w:sz w:val="24"/>
          <w:szCs w:val="24"/>
        </w:rPr>
      </w:pPr>
      <w:r w:rsidRPr="007E5866">
        <w:rPr>
          <w:rFonts w:ascii="Times New Roman" w:hAnsi="Times New Roman" w:cs="Times New Roman"/>
          <w:sz w:val="24"/>
          <w:szCs w:val="24"/>
        </w:rPr>
        <w:t>Holding administrative or leadership positions within the school or college</w:t>
      </w:r>
      <w:r w:rsidR="009B0983">
        <w:rPr>
          <w:rFonts w:ascii="Times New Roman" w:hAnsi="Times New Roman" w:cs="Times New Roman"/>
          <w:sz w:val="24"/>
          <w:szCs w:val="24"/>
        </w:rPr>
        <w:t>, where not otherwise accounted for</w:t>
      </w:r>
      <w:r w:rsidR="00254018">
        <w:rPr>
          <w:rFonts w:ascii="Times New Roman" w:hAnsi="Times New Roman" w:cs="Times New Roman"/>
          <w:sz w:val="24"/>
          <w:szCs w:val="24"/>
        </w:rPr>
        <w:t xml:space="preserve"> in administrative workload</w:t>
      </w:r>
      <w:r w:rsidRPr="007E5866">
        <w:rPr>
          <w:rFonts w:ascii="Times New Roman" w:hAnsi="Times New Roman" w:cs="Times New Roman"/>
          <w:sz w:val="24"/>
          <w:szCs w:val="24"/>
        </w:rPr>
        <w:t>.</w:t>
      </w:r>
    </w:p>
    <w:p w:rsidR="00B77F17" w:rsidRPr="007E5866" w:rsidRDefault="00B77F17" w:rsidP="007E5866">
      <w:pPr>
        <w:pStyle w:val="NoSpacing"/>
        <w:rPr>
          <w:rFonts w:ascii="Times New Roman" w:hAnsi="Times New Roman" w:cs="Times New Roman"/>
          <w:sz w:val="24"/>
          <w:szCs w:val="24"/>
        </w:rPr>
      </w:pPr>
      <w:r w:rsidRPr="007E5866">
        <w:rPr>
          <w:rFonts w:ascii="Times New Roman" w:hAnsi="Times New Roman" w:cs="Times New Roman"/>
          <w:sz w:val="24"/>
          <w:szCs w:val="24"/>
        </w:rPr>
        <w:t>Engaging in other activities that benefit the governance or administration of the school, college, or university</w:t>
      </w:r>
      <w:r w:rsidR="00BF6C40" w:rsidRPr="007E5866">
        <w:rPr>
          <w:rFonts w:ascii="Times New Roman" w:hAnsi="Times New Roman" w:cs="Times New Roman"/>
          <w:sz w:val="24"/>
          <w:szCs w:val="24"/>
        </w:rPr>
        <w:t>.</w:t>
      </w:r>
    </w:p>
    <w:p w:rsidR="00B77F17" w:rsidRPr="007E5866" w:rsidRDefault="00B77F17" w:rsidP="007E5866">
      <w:pPr>
        <w:pStyle w:val="NoSpacing"/>
        <w:rPr>
          <w:rFonts w:ascii="Times New Roman" w:hAnsi="Times New Roman" w:cs="Times New Roman"/>
          <w:sz w:val="24"/>
          <w:szCs w:val="24"/>
        </w:rPr>
      </w:pPr>
    </w:p>
    <w:p w:rsidR="00B77F17" w:rsidRPr="007E5866" w:rsidRDefault="00B77F17" w:rsidP="007E5866">
      <w:pPr>
        <w:pStyle w:val="NoSpacing"/>
        <w:rPr>
          <w:rFonts w:ascii="Times New Roman" w:hAnsi="Times New Roman" w:cs="Times New Roman"/>
          <w:sz w:val="24"/>
          <w:szCs w:val="24"/>
        </w:rPr>
      </w:pPr>
      <w:r w:rsidRPr="007E5866">
        <w:rPr>
          <w:rStyle w:val="Heading4Char"/>
          <w:rFonts w:ascii="Times New Roman" w:eastAsiaTheme="minorHAnsi" w:hAnsi="Times New Roman" w:cs="Times New Roman"/>
          <w:i w:val="0"/>
          <w:iCs w:val="0"/>
          <w:color w:val="auto"/>
          <w:sz w:val="24"/>
          <w:szCs w:val="24"/>
        </w:rPr>
        <w:t>Professional service</w:t>
      </w:r>
      <w:r w:rsidRPr="007E5866">
        <w:rPr>
          <w:rFonts w:ascii="Times New Roman" w:hAnsi="Times New Roman" w:cs="Times New Roman"/>
          <w:sz w:val="24"/>
          <w:szCs w:val="24"/>
        </w:rPr>
        <w:t xml:space="preserve"> includes (but is not limited to):</w:t>
      </w:r>
    </w:p>
    <w:p w:rsidR="00B77F17" w:rsidRPr="007E5866" w:rsidRDefault="00B77F17" w:rsidP="007E5866">
      <w:pPr>
        <w:pStyle w:val="NoSpacing"/>
        <w:rPr>
          <w:rFonts w:ascii="Times New Roman" w:hAnsi="Times New Roman" w:cs="Times New Roman"/>
          <w:sz w:val="24"/>
          <w:szCs w:val="24"/>
        </w:rPr>
      </w:pPr>
      <w:r w:rsidRPr="007E5866">
        <w:rPr>
          <w:rFonts w:ascii="Times New Roman" w:hAnsi="Times New Roman" w:cs="Times New Roman"/>
          <w:sz w:val="24"/>
          <w:szCs w:val="24"/>
        </w:rPr>
        <w:t>Organizing or participating in the organization or execution of professional meetings or conferences (academic conference presentations count under research, not professional service).</w:t>
      </w:r>
    </w:p>
    <w:p w:rsidR="00B77F17" w:rsidRPr="007E5866" w:rsidRDefault="00B77F17" w:rsidP="007E5866">
      <w:pPr>
        <w:pStyle w:val="NoSpacing"/>
        <w:rPr>
          <w:rFonts w:ascii="Times New Roman" w:hAnsi="Times New Roman" w:cs="Times New Roman"/>
          <w:sz w:val="24"/>
          <w:szCs w:val="24"/>
        </w:rPr>
      </w:pPr>
      <w:r w:rsidRPr="007E5866">
        <w:rPr>
          <w:rFonts w:ascii="Times New Roman" w:hAnsi="Times New Roman" w:cs="Times New Roman"/>
          <w:sz w:val="24"/>
          <w:szCs w:val="24"/>
        </w:rPr>
        <w:t>Founding, holding office in, or otherwise serving the needs of professional associations.</w:t>
      </w:r>
    </w:p>
    <w:p w:rsidR="00B77F17" w:rsidRPr="007E5866" w:rsidRDefault="00B77F17" w:rsidP="007E5866">
      <w:pPr>
        <w:pStyle w:val="NoSpacing"/>
        <w:rPr>
          <w:rFonts w:ascii="Times New Roman" w:hAnsi="Times New Roman" w:cs="Times New Roman"/>
          <w:sz w:val="24"/>
          <w:szCs w:val="24"/>
        </w:rPr>
      </w:pPr>
      <w:r w:rsidRPr="007E5866">
        <w:rPr>
          <w:rFonts w:ascii="Times New Roman" w:hAnsi="Times New Roman" w:cs="Times New Roman"/>
          <w:sz w:val="24"/>
          <w:szCs w:val="24"/>
        </w:rPr>
        <w:t>Providing pro bono advising, technical assistance, or other services to agencies or professional associations</w:t>
      </w:r>
      <w:r w:rsidR="00BF6C40" w:rsidRPr="007E5866">
        <w:rPr>
          <w:rFonts w:ascii="Times New Roman" w:hAnsi="Times New Roman" w:cs="Times New Roman"/>
          <w:sz w:val="24"/>
          <w:szCs w:val="24"/>
        </w:rPr>
        <w:t xml:space="preserve"> including presentations and trainings.</w:t>
      </w:r>
    </w:p>
    <w:p w:rsidR="00B77F17" w:rsidRPr="007E5866" w:rsidRDefault="00B77F17" w:rsidP="007E5866">
      <w:pPr>
        <w:pStyle w:val="NoSpacing"/>
        <w:rPr>
          <w:rFonts w:ascii="Times New Roman" w:hAnsi="Times New Roman" w:cs="Times New Roman"/>
          <w:sz w:val="24"/>
          <w:szCs w:val="24"/>
        </w:rPr>
      </w:pPr>
      <w:r w:rsidRPr="007E5866">
        <w:rPr>
          <w:rFonts w:ascii="Times New Roman" w:hAnsi="Times New Roman" w:cs="Times New Roman"/>
          <w:sz w:val="24"/>
          <w:szCs w:val="24"/>
        </w:rPr>
        <w:t>Editing and refereeing manuscripts or proposals for journals, publishers, or grant-making organizations</w:t>
      </w:r>
      <w:r w:rsidR="00BF6C40" w:rsidRPr="007E5866">
        <w:rPr>
          <w:rFonts w:ascii="Times New Roman" w:hAnsi="Times New Roman" w:cs="Times New Roman"/>
          <w:sz w:val="24"/>
          <w:szCs w:val="24"/>
        </w:rPr>
        <w:t>.</w:t>
      </w:r>
    </w:p>
    <w:p w:rsidR="00B77F17" w:rsidRPr="007E5866" w:rsidRDefault="00B77F17" w:rsidP="007E5866">
      <w:pPr>
        <w:pStyle w:val="NoSpacing"/>
        <w:rPr>
          <w:rFonts w:ascii="Times New Roman" w:hAnsi="Times New Roman" w:cs="Times New Roman"/>
          <w:sz w:val="24"/>
          <w:szCs w:val="24"/>
        </w:rPr>
      </w:pPr>
    </w:p>
    <w:p w:rsidR="00B77F17" w:rsidRPr="007E5866" w:rsidRDefault="00B77F17" w:rsidP="007E5866">
      <w:pPr>
        <w:pStyle w:val="NoSpacing"/>
        <w:rPr>
          <w:rFonts w:ascii="Times New Roman" w:hAnsi="Times New Roman" w:cs="Times New Roman"/>
          <w:sz w:val="24"/>
          <w:szCs w:val="24"/>
        </w:rPr>
      </w:pPr>
      <w:r w:rsidRPr="007E5866">
        <w:rPr>
          <w:rStyle w:val="Heading4Char"/>
          <w:rFonts w:ascii="Times New Roman" w:eastAsiaTheme="minorHAnsi" w:hAnsi="Times New Roman" w:cs="Times New Roman"/>
          <w:i w:val="0"/>
          <w:iCs w:val="0"/>
          <w:color w:val="auto"/>
          <w:sz w:val="24"/>
          <w:szCs w:val="24"/>
        </w:rPr>
        <w:t xml:space="preserve">Community service </w:t>
      </w:r>
      <w:r w:rsidRPr="007E5866">
        <w:rPr>
          <w:rFonts w:ascii="Times New Roman" w:hAnsi="Times New Roman" w:cs="Times New Roman"/>
          <w:sz w:val="24"/>
          <w:szCs w:val="24"/>
        </w:rPr>
        <w:t>includes (but is not limited to):</w:t>
      </w:r>
    </w:p>
    <w:p w:rsidR="00B77F17" w:rsidRPr="007E5866" w:rsidRDefault="00B77F17" w:rsidP="007E5866">
      <w:pPr>
        <w:pStyle w:val="NoSpacing"/>
        <w:rPr>
          <w:rFonts w:ascii="Times New Roman" w:hAnsi="Times New Roman" w:cs="Times New Roman"/>
          <w:sz w:val="24"/>
          <w:szCs w:val="24"/>
        </w:rPr>
      </w:pPr>
      <w:r w:rsidRPr="007E5866">
        <w:rPr>
          <w:rFonts w:ascii="Times New Roman" w:hAnsi="Times New Roman" w:cs="Times New Roman"/>
          <w:sz w:val="24"/>
          <w:szCs w:val="24"/>
        </w:rPr>
        <w:t>Providing public lectures or pro bono consultation for community groups.</w:t>
      </w:r>
    </w:p>
    <w:p w:rsidR="00B77F17" w:rsidRPr="007E5866" w:rsidRDefault="00B77F17" w:rsidP="007E5866">
      <w:pPr>
        <w:pStyle w:val="NoSpacing"/>
        <w:rPr>
          <w:rFonts w:ascii="Times New Roman" w:hAnsi="Times New Roman" w:cs="Times New Roman"/>
          <w:sz w:val="24"/>
          <w:szCs w:val="24"/>
        </w:rPr>
      </w:pPr>
      <w:r w:rsidRPr="007E5866">
        <w:rPr>
          <w:rFonts w:ascii="Times New Roman" w:hAnsi="Times New Roman" w:cs="Times New Roman"/>
          <w:sz w:val="24"/>
          <w:szCs w:val="24"/>
        </w:rPr>
        <w:t>Providing interviews for media outlets, including television, radio, newspapers, and other media genres</w:t>
      </w:r>
      <w:r w:rsidR="00335EA3" w:rsidRPr="007E5866">
        <w:rPr>
          <w:rFonts w:ascii="Times New Roman" w:hAnsi="Times New Roman" w:cs="Times New Roman"/>
          <w:sz w:val="24"/>
          <w:szCs w:val="24"/>
        </w:rPr>
        <w:t xml:space="preserve"> such as op-eds and blog posts</w:t>
      </w:r>
      <w:r w:rsidRPr="007E5866">
        <w:rPr>
          <w:rFonts w:ascii="Times New Roman" w:hAnsi="Times New Roman" w:cs="Times New Roman"/>
          <w:sz w:val="24"/>
          <w:szCs w:val="24"/>
        </w:rPr>
        <w:t>.</w:t>
      </w:r>
    </w:p>
    <w:p w:rsidR="00B77F17" w:rsidRPr="008D56DE" w:rsidRDefault="00B77F17" w:rsidP="00E22DB9">
      <w:pPr>
        <w:spacing w:after="0" w:line="264" w:lineRule="auto"/>
        <w:rPr>
          <w:rFonts w:ascii="Times New Roman" w:eastAsia="Times New Roman" w:hAnsi="Times New Roman" w:cs="Times New Roman"/>
          <w:i/>
          <w:sz w:val="24"/>
          <w:szCs w:val="24"/>
        </w:rPr>
      </w:pPr>
    </w:p>
    <w:p w:rsidR="007C0E80" w:rsidRPr="008D56DE" w:rsidRDefault="007C0E80" w:rsidP="007C0E80">
      <w:pPr>
        <w:pStyle w:val="Heading2"/>
        <w:rPr>
          <w:rFonts w:eastAsia="MS Mincho"/>
          <w:color w:val="auto"/>
        </w:rPr>
      </w:pPr>
      <w:r>
        <w:rPr>
          <w:rFonts w:eastAsia="MS Mincho"/>
        </w:rPr>
        <w:t>Appeals</w:t>
      </w:r>
    </w:p>
    <w:p w:rsidR="007C0E80" w:rsidRDefault="7C8737DB" w:rsidP="00E0092E">
      <w:pPr>
        <w:pStyle w:val="PlainText"/>
        <w:ind w:right="242"/>
        <w:rPr>
          <w:rFonts w:ascii="Times New Roman" w:eastAsia="MS Mincho" w:hAnsi="Times New Roman" w:cs="Times New Roman"/>
          <w:sz w:val="24"/>
          <w:szCs w:val="24"/>
        </w:rPr>
      </w:pPr>
      <w:r w:rsidRPr="7C8737DB">
        <w:rPr>
          <w:rFonts w:ascii="Times New Roman" w:eastAsia="MS Mincho" w:hAnsi="Times New Roman" w:cs="Times New Roman"/>
          <w:sz w:val="24"/>
          <w:szCs w:val="24"/>
        </w:rPr>
        <w:t>Appeals of the performance evaluation are submitted to the director for discussion. If a faculty member is not satisfied with the recommendation of the Director, the evaluation may be appealed to the Dean or their designee.</w:t>
      </w:r>
    </w:p>
    <w:p w:rsidR="00130916" w:rsidRDefault="00130916" w:rsidP="00E0092E">
      <w:pPr>
        <w:pStyle w:val="PlainText"/>
        <w:ind w:right="242"/>
        <w:rPr>
          <w:rFonts w:ascii="Times New Roman" w:eastAsia="MS Mincho" w:hAnsi="Times New Roman" w:cs="Times New Roman"/>
          <w:sz w:val="24"/>
          <w:szCs w:val="24"/>
        </w:rPr>
      </w:pPr>
    </w:p>
    <w:p w:rsidR="00130916" w:rsidRPr="00254E96" w:rsidRDefault="7C8737DB" w:rsidP="00E0092E">
      <w:pPr>
        <w:spacing w:after="0" w:line="264" w:lineRule="auto"/>
        <w:rPr>
          <w:rFonts w:ascii="Times New Roman" w:eastAsia="Times New Roman" w:hAnsi="Times New Roman" w:cs="Times New Roman"/>
          <w:sz w:val="24"/>
          <w:szCs w:val="24"/>
        </w:rPr>
      </w:pPr>
      <w:r w:rsidRPr="7C8737DB">
        <w:rPr>
          <w:rFonts w:ascii="Times New Roman" w:eastAsia="Times New Roman" w:hAnsi="Times New Roman" w:cs="Times New Roman"/>
          <w:sz w:val="24"/>
          <w:szCs w:val="24"/>
        </w:rPr>
        <w:t>Faculty members may appeal a performance evaluation according to the following procedure:</w:t>
      </w:r>
    </w:p>
    <w:p w:rsidR="00130916" w:rsidRPr="00254E96" w:rsidRDefault="00130916" w:rsidP="00130916">
      <w:pPr>
        <w:spacing w:after="0" w:line="264" w:lineRule="auto"/>
        <w:rPr>
          <w:rFonts w:ascii="Times New Roman" w:eastAsia="Times New Roman" w:hAnsi="Times New Roman" w:cs="Times New Roman"/>
          <w:sz w:val="24"/>
          <w:szCs w:val="24"/>
        </w:rPr>
      </w:pPr>
    </w:p>
    <w:p w:rsidR="00130916" w:rsidRPr="00E0092E" w:rsidRDefault="00ED2E66" w:rsidP="00E0092E">
      <w:pPr>
        <w:pStyle w:val="ListParagraph"/>
        <w:numPr>
          <w:ilvl w:val="0"/>
          <w:numId w:val="1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Within 30 days of receipt of their annual review, a f</w:t>
      </w:r>
      <w:r w:rsidR="6924E9DA" w:rsidRPr="6924E9DA">
        <w:rPr>
          <w:rFonts w:ascii="Times New Roman" w:eastAsia="Times New Roman" w:hAnsi="Times New Roman" w:cs="Times New Roman"/>
          <w:sz w:val="24"/>
          <w:szCs w:val="24"/>
        </w:rPr>
        <w:t xml:space="preserve">aculty member must prepare a formal letter of appeal to the Dean, including a statement of the reason(s) for requesting the review and provide all necessary documentation and data. The Dean will </w:t>
      </w:r>
      <w:r>
        <w:rPr>
          <w:rFonts w:ascii="Times New Roman" w:eastAsia="Times New Roman" w:hAnsi="Times New Roman" w:cs="Times New Roman"/>
          <w:sz w:val="24"/>
          <w:szCs w:val="24"/>
        </w:rPr>
        <w:t xml:space="preserve">consider these materials and reach a decision. </w:t>
      </w:r>
    </w:p>
    <w:p w:rsidR="00130916" w:rsidRDefault="00130916" w:rsidP="00130916">
      <w:pPr>
        <w:spacing w:after="0" w:line="264" w:lineRule="auto"/>
        <w:rPr>
          <w:rFonts w:ascii="Times New Roman" w:eastAsia="Times New Roman" w:hAnsi="Times New Roman" w:cs="Times New Roman"/>
          <w:sz w:val="24"/>
          <w:szCs w:val="24"/>
        </w:rPr>
      </w:pPr>
    </w:p>
    <w:p w:rsidR="00130916" w:rsidRDefault="00ED2E66" w:rsidP="00E0092E">
      <w:pPr>
        <w:pStyle w:val="ListParagraph"/>
        <w:numPr>
          <w:ilvl w:val="0"/>
          <w:numId w:val="1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 faculty member is not satisfied with the decision of t</w:t>
      </w:r>
      <w:r w:rsidR="6924E9DA" w:rsidRPr="6924E9DA">
        <w:rPr>
          <w:rFonts w:ascii="Times New Roman" w:eastAsia="Times New Roman" w:hAnsi="Times New Roman" w:cs="Times New Roman"/>
          <w:sz w:val="24"/>
          <w:szCs w:val="24"/>
        </w:rPr>
        <w:t>he Dean</w:t>
      </w:r>
      <w:r>
        <w:rPr>
          <w:rFonts w:ascii="Times New Roman" w:eastAsia="Times New Roman" w:hAnsi="Times New Roman" w:cs="Times New Roman"/>
          <w:sz w:val="24"/>
          <w:szCs w:val="24"/>
        </w:rPr>
        <w:t>, they shall file a formal letter of appeal to the Provost within 30 days of receipt of the Dean’s decision. The Dean or their designee shall provide information on the appeals process.</w:t>
      </w:r>
    </w:p>
    <w:p w:rsidR="00FE7389" w:rsidRPr="00382222" w:rsidRDefault="00FE7389" w:rsidP="7C8737DB">
      <w:pPr>
        <w:rPr>
          <w:rFonts w:ascii="Times New Roman" w:eastAsia="Times New Roman" w:hAnsi="Times New Roman" w:cs="Times New Roman"/>
          <w:sz w:val="24"/>
          <w:szCs w:val="24"/>
        </w:rPr>
      </w:pPr>
    </w:p>
    <w:p w:rsidR="00ED2E66" w:rsidRDefault="00ED2E6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77F17" w:rsidRPr="008D56DE" w:rsidRDefault="00140996">
      <w:pPr>
        <w:pStyle w:val="Heading1"/>
        <w:rPr>
          <w:rFonts w:ascii="Times New Roman" w:eastAsia="Times New Roman" w:hAnsi="Times New Roman" w:cs="Times New Roman"/>
          <w:b/>
          <w:bCs/>
          <w:color w:val="000000" w:themeColor="text1"/>
          <w:sz w:val="24"/>
          <w:szCs w:val="24"/>
        </w:rPr>
      </w:pPr>
      <w:r w:rsidRPr="7C8737DB">
        <w:rPr>
          <w:rFonts w:ascii="Times New Roman" w:eastAsia="Times New Roman" w:hAnsi="Times New Roman" w:cs="Times New Roman"/>
          <w:b/>
          <w:bCs/>
          <w:color w:val="000000" w:themeColor="text1"/>
          <w:sz w:val="24"/>
          <w:szCs w:val="24"/>
        </w:rPr>
        <w:br w:type="page"/>
      </w:r>
    </w:p>
    <w:p w:rsidR="001671DC" w:rsidRPr="008D56DE" w:rsidRDefault="001671DC" w:rsidP="00FC5C86">
      <w:pPr>
        <w:rPr>
          <w:rFonts w:ascii="Times New Roman" w:eastAsia="Times New Roman" w:hAnsi="Times New Roman" w:cs="Times New Roman"/>
          <w:b/>
          <w:color w:val="000000"/>
          <w:sz w:val="24"/>
          <w:szCs w:val="24"/>
        </w:rPr>
      </w:pPr>
      <w:r w:rsidRPr="008D56DE">
        <w:rPr>
          <w:rFonts w:ascii="Times New Roman" w:eastAsia="Times New Roman" w:hAnsi="Times New Roman" w:cs="Times New Roman"/>
          <w:b/>
          <w:color w:val="000000"/>
          <w:sz w:val="24"/>
          <w:szCs w:val="24"/>
        </w:rPr>
        <w:t>References</w:t>
      </w:r>
    </w:p>
    <w:p w:rsidR="001671DC" w:rsidRPr="008D56DE" w:rsidRDefault="001671DC" w:rsidP="001671DC">
      <w:pPr>
        <w:spacing w:after="0" w:line="240" w:lineRule="auto"/>
        <w:rPr>
          <w:rFonts w:ascii="Times New Roman" w:eastAsia="Times New Roman" w:hAnsi="Times New Roman" w:cs="Times New Roman"/>
          <w:color w:val="000000"/>
          <w:sz w:val="24"/>
          <w:szCs w:val="24"/>
        </w:rPr>
      </w:pPr>
      <w:proofErr w:type="spellStart"/>
      <w:r w:rsidRPr="008D56DE">
        <w:rPr>
          <w:rFonts w:ascii="Times New Roman" w:eastAsia="Times New Roman" w:hAnsi="Times New Roman" w:cs="Times New Roman"/>
          <w:color w:val="000000"/>
          <w:sz w:val="24"/>
          <w:szCs w:val="24"/>
        </w:rPr>
        <w:t>Basow</w:t>
      </w:r>
      <w:proofErr w:type="spellEnd"/>
      <w:r w:rsidRPr="008D56DE">
        <w:rPr>
          <w:rFonts w:ascii="Times New Roman" w:eastAsia="Times New Roman" w:hAnsi="Times New Roman" w:cs="Times New Roman"/>
          <w:color w:val="000000"/>
          <w:sz w:val="24"/>
          <w:szCs w:val="24"/>
        </w:rPr>
        <w:t xml:space="preserve">, S. A., &amp; Martin, J. L. (2012). Bias in student evaluations. In M. E. Kite (Ed.), Effective evaluation of teaching: A guide for faculty and administrators (p. 40–49). Society for the Teaching of Psychology. </w:t>
      </w:r>
    </w:p>
    <w:p w:rsidR="001671DC" w:rsidRPr="008D56DE" w:rsidRDefault="001671DC" w:rsidP="001671DC">
      <w:pPr>
        <w:spacing w:after="0" w:line="240" w:lineRule="auto"/>
        <w:rPr>
          <w:rFonts w:ascii="Times New Roman" w:eastAsia="Times New Roman" w:hAnsi="Times New Roman" w:cs="Times New Roman"/>
          <w:color w:val="000000"/>
          <w:sz w:val="24"/>
          <w:szCs w:val="24"/>
        </w:rPr>
      </w:pPr>
    </w:p>
    <w:p w:rsidR="001671DC" w:rsidRPr="008D56DE" w:rsidRDefault="001671DC" w:rsidP="001671DC">
      <w:pPr>
        <w:spacing w:after="0" w:line="240" w:lineRule="auto"/>
        <w:rPr>
          <w:rFonts w:ascii="Times New Roman" w:eastAsia="Times New Roman" w:hAnsi="Times New Roman" w:cs="Times New Roman"/>
          <w:color w:val="000000"/>
          <w:sz w:val="24"/>
          <w:szCs w:val="24"/>
        </w:rPr>
      </w:pPr>
      <w:r w:rsidRPr="008D56DE">
        <w:rPr>
          <w:rFonts w:ascii="Times New Roman" w:eastAsia="Times New Roman" w:hAnsi="Times New Roman" w:cs="Times New Roman"/>
          <w:color w:val="000000"/>
          <w:sz w:val="24"/>
          <w:szCs w:val="24"/>
        </w:rPr>
        <w:t xml:space="preserve">Boring, A. (2017). Gender biases in student evaluations of teaching. Journal of public economics, 145, 27-41. </w:t>
      </w:r>
    </w:p>
    <w:p w:rsidR="001671DC" w:rsidRPr="008D56DE" w:rsidRDefault="001671DC" w:rsidP="001671DC">
      <w:pPr>
        <w:spacing w:after="0" w:line="240" w:lineRule="auto"/>
        <w:rPr>
          <w:rFonts w:ascii="Times New Roman" w:eastAsia="Times New Roman" w:hAnsi="Times New Roman" w:cs="Times New Roman"/>
          <w:color w:val="000000"/>
          <w:sz w:val="24"/>
          <w:szCs w:val="24"/>
        </w:rPr>
      </w:pPr>
    </w:p>
    <w:p w:rsidR="001671DC" w:rsidRPr="008D56DE" w:rsidRDefault="001671DC" w:rsidP="001671DC">
      <w:pPr>
        <w:spacing w:after="0" w:line="240" w:lineRule="auto"/>
        <w:rPr>
          <w:rFonts w:ascii="Times New Roman" w:eastAsia="Times New Roman" w:hAnsi="Times New Roman" w:cs="Times New Roman"/>
          <w:color w:val="000000"/>
          <w:sz w:val="24"/>
          <w:szCs w:val="24"/>
        </w:rPr>
      </w:pPr>
      <w:r w:rsidRPr="008D56DE">
        <w:rPr>
          <w:rFonts w:ascii="Times New Roman" w:eastAsia="Times New Roman" w:hAnsi="Times New Roman" w:cs="Times New Roman"/>
          <w:color w:val="000000"/>
          <w:sz w:val="24"/>
          <w:szCs w:val="24"/>
        </w:rPr>
        <w:t>Chávez, K., &amp; Mitchell, K. M. (2020). Exploring Bias in Student Evaluations: Gender, Race, and Ethnicity. PS: Political Science &amp; Politics, 53(2), 270-274.</w:t>
      </w:r>
    </w:p>
    <w:p w:rsidR="001671DC" w:rsidRPr="008D56DE" w:rsidRDefault="001671DC" w:rsidP="001671DC">
      <w:pPr>
        <w:spacing w:after="0" w:line="240" w:lineRule="auto"/>
        <w:rPr>
          <w:rFonts w:ascii="Times New Roman" w:eastAsia="Times New Roman" w:hAnsi="Times New Roman" w:cs="Times New Roman"/>
          <w:color w:val="000000"/>
          <w:sz w:val="24"/>
          <w:szCs w:val="24"/>
        </w:rPr>
      </w:pPr>
    </w:p>
    <w:p w:rsidR="001671DC" w:rsidRPr="008D56DE" w:rsidRDefault="001671DC" w:rsidP="001671DC">
      <w:pPr>
        <w:spacing w:after="0" w:line="240" w:lineRule="auto"/>
        <w:rPr>
          <w:rFonts w:ascii="Times New Roman" w:eastAsia="Times New Roman" w:hAnsi="Times New Roman" w:cs="Times New Roman"/>
          <w:color w:val="000000"/>
          <w:sz w:val="24"/>
          <w:szCs w:val="24"/>
        </w:rPr>
      </w:pPr>
      <w:proofErr w:type="spellStart"/>
      <w:r w:rsidRPr="008D56DE">
        <w:rPr>
          <w:rFonts w:ascii="Times New Roman" w:eastAsia="Times New Roman" w:hAnsi="Times New Roman" w:cs="Times New Roman"/>
          <w:color w:val="000000"/>
          <w:sz w:val="24"/>
          <w:szCs w:val="24"/>
        </w:rPr>
        <w:t>Clayson</w:t>
      </w:r>
      <w:proofErr w:type="spellEnd"/>
      <w:r w:rsidRPr="008D56DE">
        <w:rPr>
          <w:rFonts w:ascii="Times New Roman" w:eastAsia="Times New Roman" w:hAnsi="Times New Roman" w:cs="Times New Roman"/>
          <w:color w:val="000000"/>
          <w:sz w:val="24"/>
          <w:szCs w:val="24"/>
        </w:rPr>
        <w:t>, D. E. (2009). Student evaluations of teaching: Are they related to what students learn? A meta-analysis and review of the literature. Journal of Marketing Education, 31(1), 16-30.</w:t>
      </w:r>
    </w:p>
    <w:p w:rsidR="001671DC" w:rsidRPr="008D56DE" w:rsidRDefault="001671DC" w:rsidP="001671DC">
      <w:pPr>
        <w:spacing w:after="0" w:line="240" w:lineRule="auto"/>
        <w:rPr>
          <w:rFonts w:ascii="Times New Roman" w:eastAsia="Times New Roman" w:hAnsi="Times New Roman" w:cs="Times New Roman"/>
          <w:color w:val="000000"/>
          <w:sz w:val="24"/>
          <w:szCs w:val="24"/>
        </w:rPr>
      </w:pPr>
    </w:p>
    <w:p w:rsidR="001671DC" w:rsidRPr="008D56DE" w:rsidRDefault="001671DC" w:rsidP="001671DC">
      <w:pPr>
        <w:spacing w:after="0" w:line="240" w:lineRule="auto"/>
        <w:rPr>
          <w:rFonts w:ascii="Times New Roman" w:eastAsia="Times New Roman" w:hAnsi="Times New Roman" w:cs="Times New Roman"/>
          <w:color w:val="000000"/>
          <w:sz w:val="24"/>
          <w:szCs w:val="24"/>
        </w:rPr>
      </w:pPr>
      <w:proofErr w:type="spellStart"/>
      <w:r w:rsidRPr="008D56DE">
        <w:rPr>
          <w:rFonts w:ascii="Times New Roman" w:eastAsia="Times New Roman" w:hAnsi="Times New Roman" w:cs="Times New Roman"/>
          <w:color w:val="000000"/>
          <w:sz w:val="24"/>
          <w:szCs w:val="24"/>
        </w:rPr>
        <w:t>Eiszler</w:t>
      </w:r>
      <w:proofErr w:type="spellEnd"/>
      <w:r w:rsidRPr="008D56DE">
        <w:rPr>
          <w:rFonts w:ascii="Times New Roman" w:eastAsia="Times New Roman" w:hAnsi="Times New Roman" w:cs="Times New Roman"/>
          <w:color w:val="000000"/>
          <w:sz w:val="24"/>
          <w:szCs w:val="24"/>
        </w:rPr>
        <w:t>, C. F. (2002). College students' evaluations of teaching and grade inflation. Research in Higher Education, 43(4), 483-501.</w:t>
      </w:r>
    </w:p>
    <w:p w:rsidR="001671DC" w:rsidRPr="008D56DE" w:rsidRDefault="001671DC" w:rsidP="001671DC">
      <w:pPr>
        <w:spacing w:after="0" w:line="240" w:lineRule="auto"/>
        <w:rPr>
          <w:rFonts w:ascii="Times New Roman" w:eastAsia="Times New Roman" w:hAnsi="Times New Roman" w:cs="Times New Roman"/>
          <w:color w:val="000000"/>
          <w:sz w:val="24"/>
          <w:szCs w:val="24"/>
        </w:rPr>
      </w:pPr>
    </w:p>
    <w:p w:rsidR="001671DC" w:rsidRPr="008D56DE" w:rsidRDefault="001671DC" w:rsidP="001671DC">
      <w:pPr>
        <w:spacing w:after="0" w:line="240" w:lineRule="auto"/>
        <w:rPr>
          <w:rFonts w:ascii="Times New Roman" w:eastAsia="Times New Roman" w:hAnsi="Times New Roman" w:cs="Times New Roman"/>
          <w:color w:val="000000"/>
          <w:sz w:val="24"/>
          <w:szCs w:val="24"/>
        </w:rPr>
      </w:pPr>
      <w:r w:rsidRPr="008D56DE">
        <w:rPr>
          <w:rFonts w:ascii="Times New Roman" w:eastAsia="Times New Roman" w:hAnsi="Times New Roman" w:cs="Times New Roman"/>
          <w:color w:val="000000"/>
          <w:sz w:val="24"/>
          <w:szCs w:val="24"/>
        </w:rPr>
        <w:t xml:space="preserve">Felton, J., Koper, P. T., Mitchell, J., &amp; Stinson, M. (2008). Attractiveness, easiness and other issues: Student evaluations of professors on </w:t>
      </w:r>
      <w:proofErr w:type="spellStart"/>
      <w:r w:rsidRPr="008D56DE">
        <w:rPr>
          <w:rFonts w:ascii="Times New Roman" w:eastAsia="Times New Roman" w:hAnsi="Times New Roman" w:cs="Times New Roman"/>
          <w:color w:val="000000"/>
          <w:sz w:val="24"/>
          <w:szCs w:val="24"/>
        </w:rPr>
        <w:t>ratemyprofessors</w:t>
      </w:r>
      <w:proofErr w:type="spellEnd"/>
      <w:r w:rsidRPr="008D56DE">
        <w:rPr>
          <w:rFonts w:ascii="Times New Roman" w:eastAsia="Times New Roman" w:hAnsi="Times New Roman" w:cs="Times New Roman"/>
          <w:color w:val="000000"/>
          <w:sz w:val="24"/>
          <w:szCs w:val="24"/>
        </w:rPr>
        <w:t xml:space="preserve">. com. Assessment &amp; Evaluation in Higher Education, 33(1), 45-61. </w:t>
      </w:r>
    </w:p>
    <w:p w:rsidR="001671DC" w:rsidRPr="008D56DE" w:rsidRDefault="001671DC" w:rsidP="001671DC">
      <w:pPr>
        <w:spacing w:after="0" w:line="240" w:lineRule="auto"/>
        <w:rPr>
          <w:rFonts w:ascii="Times New Roman" w:eastAsia="Times New Roman" w:hAnsi="Times New Roman" w:cs="Times New Roman"/>
          <w:color w:val="000000"/>
          <w:sz w:val="24"/>
          <w:szCs w:val="24"/>
        </w:rPr>
      </w:pPr>
    </w:p>
    <w:p w:rsidR="001671DC" w:rsidRPr="008D56DE" w:rsidRDefault="001671DC" w:rsidP="001671DC">
      <w:pPr>
        <w:spacing w:after="0" w:line="240" w:lineRule="auto"/>
        <w:rPr>
          <w:rFonts w:ascii="Times New Roman" w:eastAsia="Times New Roman" w:hAnsi="Times New Roman" w:cs="Times New Roman"/>
          <w:color w:val="000000"/>
          <w:sz w:val="24"/>
          <w:szCs w:val="24"/>
        </w:rPr>
      </w:pPr>
      <w:r w:rsidRPr="008D56DE">
        <w:rPr>
          <w:rFonts w:ascii="Times New Roman" w:eastAsia="Times New Roman" w:hAnsi="Times New Roman" w:cs="Times New Roman"/>
          <w:color w:val="000000"/>
          <w:sz w:val="24"/>
          <w:szCs w:val="24"/>
        </w:rPr>
        <w:t xml:space="preserve">Freng, S., &amp; Webber, D. (2009). Turning up the heat on online teaching evaluations: Does “hotness” matter?. Teaching of Psychology, 36(3), 189-193. </w:t>
      </w:r>
    </w:p>
    <w:p w:rsidR="001671DC" w:rsidRPr="008D56DE" w:rsidRDefault="001671DC" w:rsidP="001671DC">
      <w:pPr>
        <w:spacing w:after="0" w:line="240" w:lineRule="auto"/>
        <w:rPr>
          <w:rFonts w:ascii="Times New Roman" w:eastAsia="Times New Roman" w:hAnsi="Times New Roman" w:cs="Times New Roman"/>
          <w:color w:val="000000"/>
          <w:sz w:val="24"/>
          <w:szCs w:val="24"/>
        </w:rPr>
      </w:pPr>
    </w:p>
    <w:p w:rsidR="001671DC" w:rsidRPr="008D56DE" w:rsidRDefault="001671DC" w:rsidP="001671DC">
      <w:pPr>
        <w:spacing w:after="0" w:line="240" w:lineRule="auto"/>
        <w:rPr>
          <w:rFonts w:ascii="Times New Roman" w:eastAsia="Times New Roman" w:hAnsi="Times New Roman" w:cs="Times New Roman"/>
          <w:color w:val="000000"/>
          <w:sz w:val="24"/>
          <w:szCs w:val="24"/>
        </w:rPr>
      </w:pPr>
      <w:proofErr w:type="spellStart"/>
      <w:r w:rsidRPr="008D56DE">
        <w:rPr>
          <w:rFonts w:ascii="Times New Roman" w:eastAsia="Times New Roman" w:hAnsi="Times New Roman" w:cs="Times New Roman"/>
          <w:color w:val="000000"/>
          <w:sz w:val="24"/>
          <w:szCs w:val="24"/>
        </w:rPr>
        <w:t>Krautmann</w:t>
      </w:r>
      <w:proofErr w:type="spellEnd"/>
      <w:r w:rsidRPr="008D56DE">
        <w:rPr>
          <w:rFonts w:ascii="Times New Roman" w:eastAsia="Times New Roman" w:hAnsi="Times New Roman" w:cs="Times New Roman"/>
          <w:color w:val="000000"/>
          <w:sz w:val="24"/>
          <w:szCs w:val="24"/>
        </w:rPr>
        <w:t>, A. C., &amp; Sander, W. (1999). Grades and student evaluations of teachers. Economics of Education Review, 18(1), 59-63.</w:t>
      </w:r>
    </w:p>
    <w:p w:rsidR="001671DC" w:rsidRPr="008D56DE" w:rsidRDefault="001671DC" w:rsidP="001671DC">
      <w:pPr>
        <w:spacing w:after="0" w:line="240" w:lineRule="auto"/>
        <w:rPr>
          <w:rFonts w:ascii="Times New Roman" w:eastAsia="Times New Roman" w:hAnsi="Times New Roman" w:cs="Times New Roman"/>
          <w:color w:val="000000"/>
          <w:sz w:val="24"/>
          <w:szCs w:val="24"/>
        </w:rPr>
      </w:pPr>
    </w:p>
    <w:p w:rsidR="001671DC" w:rsidRPr="008D56DE" w:rsidRDefault="001671DC" w:rsidP="001671DC">
      <w:pPr>
        <w:spacing w:after="0" w:line="240" w:lineRule="auto"/>
        <w:rPr>
          <w:rFonts w:ascii="Times New Roman" w:eastAsia="Times New Roman" w:hAnsi="Times New Roman" w:cs="Times New Roman"/>
          <w:color w:val="000000"/>
          <w:sz w:val="24"/>
          <w:szCs w:val="24"/>
        </w:rPr>
      </w:pPr>
      <w:r w:rsidRPr="008D56DE">
        <w:rPr>
          <w:rFonts w:ascii="Times New Roman" w:eastAsia="Times New Roman" w:hAnsi="Times New Roman" w:cs="Times New Roman"/>
          <w:color w:val="000000"/>
          <w:sz w:val="24"/>
          <w:szCs w:val="24"/>
        </w:rPr>
        <w:t>Mitchell, K. M., &amp; Martin, J. (2018). Gender bias in student evaluations. PS: Political Science &amp; Politics, 51(3), 648-652.</w:t>
      </w:r>
    </w:p>
    <w:p w:rsidR="001671DC" w:rsidRPr="008D56DE" w:rsidRDefault="001671DC" w:rsidP="001671DC">
      <w:pPr>
        <w:spacing w:after="0" w:line="240" w:lineRule="auto"/>
        <w:rPr>
          <w:rFonts w:ascii="Times New Roman" w:eastAsia="Times New Roman" w:hAnsi="Times New Roman" w:cs="Times New Roman"/>
          <w:color w:val="000000"/>
          <w:sz w:val="24"/>
          <w:szCs w:val="24"/>
        </w:rPr>
      </w:pPr>
    </w:p>
    <w:p w:rsidR="001671DC" w:rsidRPr="008D56DE" w:rsidRDefault="001671DC" w:rsidP="001671DC">
      <w:pPr>
        <w:spacing w:after="0" w:line="240" w:lineRule="auto"/>
        <w:rPr>
          <w:rFonts w:ascii="Times New Roman" w:eastAsia="Times New Roman" w:hAnsi="Times New Roman" w:cs="Times New Roman"/>
          <w:color w:val="000000"/>
          <w:sz w:val="24"/>
          <w:szCs w:val="24"/>
        </w:rPr>
      </w:pPr>
      <w:r w:rsidRPr="008D56DE">
        <w:rPr>
          <w:rFonts w:ascii="Times New Roman" w:eastAsia="Times New Roman" w:hAnsi="Times New Roman" w:cs="Times New Roman"/>
          <w:color w:val="000000"/>
          <w:sz w:val="24"/>
          <w:szCs w:val="24"/>
        </w:rPr>
        <w:t>Smith, B. P., &amp; Hawkins, B. (2011). Examining student evaluations of Black college faculty: Does race matter?. The Journal of Negro Education, 149-162.</w:t>
      </w:r>
    </w:p>
    <w:p w:rsidR="001671DC" w:rsidRPr="008D56DE" w:rsidRDefault="001671DC" w:rsidP="001671DC">
      <w:pPr>
        <w:spacing w:after="0" w:line="240" w:lineRule="auto"/>
        <w:rPr>
          <w:rFonts w:ascii="Times New Roman" w:eastAsia="Times New Roman" w:hAnsi="Times New Roman" w:cs="Times New Roman"/>
          <w:color w:val="000000"/>
          <w:sz w:val="24"/>
          <w:szCs w:val="24"/>
        </w:rPr>
      </w:pPr>
    </w:p>
    <w:p w:rsidR="001671DC" w:rsidRPr="008D56DE" w:rsidRDefault="001671DC" w:rsidP="001671DC">
      <w:pPr>
        <w:spacing w:after="0" w:line="240" w:lineRule="auto"/>
        <w:rPr>
          <w:rFonts w:ascii="Times New Roman" w:eastAsia="Times New Roman" w:hAnsi="Times New Roman" w:cs="Times New Roman"/>
          <w:color w:val="000000"/>
          <w:sz w:val="24"/>
          <w:szCs w:val="24"/>
        </w:rPr>
      </w:pPr>
      <w:r w:rsidRPr="008D56DE">
        <w:rPr>
          <w:rFonts w:ascii="Times New Roman" w:eastAsia="Times New Roman" w:hAnsi="Times New Roman" w:cs="Times New Roman"/>
          <w:color w:val="000000"/>
          <w:sz w:val="24"/>
          <w:szCs w:val="24"/>
        </w:rPr>
        <w:t>Stroebe, W. (2016). Why good teaching evaluations may reward bad teaching: On grade inflation and other unintended consequences of student evaluations. Perspectives on Psychological Science, 11(6), 800-816.</w:t>
      </w:r>
    </w:p>
    <w:p w:rsidR="001671DC" w:rsidRPr="008D56DE" w:rsidRDefault="001671DC" w:rsidP="001671DC">
      <w:pPr>
        <w:spacing w:after="0" w:line="264" w:lineRule="auto"/>
        <w:rPr>
          <w:rFonts w:ascii="Times New Roman" w:eastAsia="Times New Roman" w:hAnsi="Times New Roman" w:cs="Times New Roman"/>
          <w:color w:val="000000" w:themeColor="text1"/>
          <w:sz w:val="24"/>
          <w:szCs w:val="24"/>
        </w:rPr>
      </w:pPr>
    </w:p>
    <w:sectPr w:rsidR="001671DC" w:rsidRPr="008D56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39D" w:rsidRDefault="00CB039D" w:rsidP="00DA6EDE">
      <w:pPr>
        <w:spacing w:after="0" w:line="240" w:lineRule="auto"/>
      </w:pPr>
      <w:r>
        <w:separator/>
      </w:r>
    </w:p>
  </w:endnote>
  <w:endnote w:type="continuationSeparator" w:id="0">
    <w:p w:rsidR="00CB039D" w:rsidRDefault="00CB039D" w:rsidP="00DA6EDE">
      <w:pPr>
        <w:spacing w:after="0" w:line="240" w:lineRule="auto"/>
      </w:pPr>
      <w:r>
        <w:continuationSeparator/>
      </w:r>
    </w:p>
  </w:endnote>
  <w:endnote w:id="1">
    <w:p w:rsidR="00710DF5" w:rsidRPr="0067440E" w:rsidRDefault="00710DF5" w:rsidP="00710DF5">
      <w:pPr>
        <w:spacing w:after="0" w:line="264" w:lineRule="auto"/>
        <w:rPr>
          <w:sz w:val="20"/>
          <w:szCs w:val="20"/>
        </w:rPr>
      </w:pPr>
      <w:r>
        <w:rPr>
          <w:rStyle w:val="EndnoteReference"/>
        </w:rPr>
        <w:endnoteRef/>
      </w:r>
      <w:r>
        <w:t xml:space="preserve"> </w:t>
      </w:r>
      <w:r w:rsidRPr="0067440E">
        <w:rPr>
          <w:sz w:val="20"/>
          <w:szCs w:val="20"/>
        </w:rPr>
        <w:t>There is strong evidence that students give higher ratings to lenient graders (Clayson, 2009; Krautmann &amp; Sander, 1999). Indeed, SETs have been implicated in the decades-long trend of grade inflation in higher education (Eiszler, 2002; Stroebe, 2016). When personnel decisions are tied to SETs, instructors feel pressure to make courses entertaining, less rigorous, and graded leniently. While SETs are positively correlated with expected course grade, they are negatively correlated with grades in subsequent courses, indicating that they are not a good measure of student learning (Stroebe, 2016). Worse, SETs are biased against female instructors (Boring, 2017; Mitchell &amp; Martin, 2018), minority instructors (Chavez &amp; Mitchell, 2019; Smith &amp; Hawkins, 2011), older instructors (Basow &amp; Martin, 2012), and even instructors who are perceived as less attractive (Felton et al., 2008; Freng &amp; Webber, 2009).</w:t>
      </w:r>
    </w:p>
    <w:p w:rsidR="00710DF5" w:rsidRPr="0067440E" w:rsidRDefault="00710DF5" w:rsidP="00710DF5">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39D" w:rsidRDefault="00CB039D" w:rsidP="00DA6EDE">
      <w:pPr>
        <w:spacing w:after="0" w:line="240" w:lineRule="auto"/>
      </w:pPr>
      <w:r>
        <w:separator/>
      </w:r>
    </w:p>
  </w:footnote>
  <w:footnote w:type="continuationSeparator" w:id="0">
    <w:p w:rsidR="00CB039D" w:rsidRDefault="00CB039D" w:rsidP="00DA6EDE">
      <w:pPr>
        <w:spacing w:after="0" w:line="240" w:lineRule="auto"/>
      </w:pPr>
      <w:r>
        <w:continuationSeparator/>
      </w:r>
    </w:p>
  </w:footnote>
  <w:footnote w:id="1">
    <w:p w:rsidR="00DA6EDE" w:rsidRDefault="00DA6EDE">
      <w:pPr>
        <w:pStyle w:val="FootnoteText"/>
      </w:pPr>
      <w:r>
        <w:rPr>
          <w:rStyle w:val="FootnoteReference"/>
        </w:rPr>
        <w:footnoteRef/>
      </w:r>
      <w:r>
        <w:t xml:space="preserve"> </w:t>
      </w:r>
      <w:hyperlink r:id="rId1" w:history="1">
        <w:r w:rsidRPr="0017497B">
          <w:rPr>
            <w:rStyle w:val="Hyperlink"/>
          </w:rPr>
          <w:t>https://www.asu.edu/aad/manuals/acd/acd506-10.html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7AE"/>
    <w:multiLevelType w:val="multilevel"/>
    <w:tmpl w:val="AD16B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A1770"/>
    <w:multiLevelType w:val="hybridMultilevel"/>
    <w:tmpl w:val="AA94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E7212"/>
    <w:multiLevelType w:val="hybridMultilevel"/>
    <w:tmpl w:val="C7B05B96"/>
    <w:lvl w:ilvl="0" w:tplc="1090B3A4">
      <w:start w:val="1"/>
      <w:numFmt w:val="decimal"/>
      <w:lvlText w:val="%1."/>
      <w:lvlJc w:val="left"/>
      <w:pPr>
        <w:ind w:left="720" w:hanging="360"/>
      </w:pPr>
    </w:lvl>
    <w:lvl w:ilvl="1" w:tplc="19EE4072">
      <w:start w:val="1"/>
      <w:numFmt w:val="lowerLetter"/>
      <w:lvlText w:val="%2."/>
      <w:lvlJc w:val="left"/>
      <w:pPr>
        <w:ind w:left="1440" w:hanging="360"/>
      </w:pPr>
    </w:lvl>
    <w:lvl w:ilvl="2" w:tplc="CE58AADE">
      <w:start w:val="1"/>
      <w:numFmt w:val="lowerRoman"/>
      <w:lvlText w:val="%3."/>
      <w:lvlJc w:val="right"/>
      <w:pPr>
        <w:ind w:left="2160" w:hanging="180"/>
      </w:pPr>
    </w:lvl>
    <w:lvl w:ilvl="3" w:tplc="B6103238">
      <w:start w:val="1"/>
      <w:numFmt w:val="decimal"/>
      <w:lvlText w:val="%4."/>
      <w:lvlJc w:val="left"/>
      <w:pPr>
        <w:ind w:left="2880" w:hanging="360"/>
      </w:pPr>
    </w:lvl>
    <w:lvl w:ilvl="4" w:tplc="132CEDD8">
      <w:start w:val="1"/>
      <w:numFmt w:val="lowerLetter"/>
      <w:lvlText w:val="%5."/>
      <w:lvlJc w:val="left"/>
      <w:pPr>
        <w:ind w:left="3600" w:hanging="360"/>
      </w:pPr>
    </w:lvl>
    <w:lvl w:ilvl="5" w:tplc="28CA3BDE">
      <w:start w:val="1"/>
      <w:numFmt w:val="lowerRoman"/>
      <w:lvlText w:val="%6."/>
      <w:lvlJc w:val="right"/>
      <w:pPr>
        <w:ind w:left="4320" w:hanging="180"/>
      </w:pPr>
    </w:lvl>
    <w:lvl w:ilvl="6" w:tplc="28C2054C">
      <w:start w:val="1"/>
      <w:numFmt w:val="decimal"/>
      <w:lvlText w:val="%7."/>
      <w:lvlJc w:val="left"/>
      <w:pPr>
        <w:ind w:left="5040" w:hanging="360"/>
      </w:pPr>
    </w:lvl>
    <w:lvl w:ilvl="7" w:tplc="AFBAE592">
      <w:start w:val="1"/>
      <w:numFmt w:val="lowerLetter"/>
      <w:lvlText w:val="%8."/>
      <w:lvlJc w:val="left"/>
      <w:pPr>
        <w:ind w:left="5760" w:hanging="360"/>
      </w:pPr>
    </w:lvl>
    <w:lvl w:ilvl="8" w:tplc="A24CC392">
      <w:start w:val="1"/>
      <w:numFmt w:val="lowerRoman"/>
      <w:lvlText w:val="%9."/>
      <w:lvlJc w:val="right"/>
      <w:pPr>
        <w:ind w:left="6480" w:hanging="180"/>
      </w:pPr>
    </w:lvl>
  </w:abstractNum>
  <w:abstractNum w:abstractNumId="3" w15:restartNumberingAfterBreak="0">
    <w:nsid w:val="2B4520F9"/>
    <w:multiLevelType w:val="hybridMultilevel"/>
    <w:tmpl w:val="6E587F3A"/>
    <w:lvl w:ilvl="0" w:tplc="754AFBF2">
      <w:start w:val="1"/>
      <w:numFmt w:val="decimal"/>
      <w:lvlText w:val="%1."/>
      <w:lvlJc w:val="left"/>
      <w:pPr>
        <w:ind w:left="720" w:hanging="360"/>
      </w:pPr>
    </w:lvl>
    <w:lvl w:ilvl="1" w:tplc="3F2830F0">
      <w:start w:val="1"/>
      <w:numFmt w:val="lowerLetter"/>
      <w:lvlText w:val="%2."/>
      <w:lvlJc w:val="left"/>
      <w:pPr>
        <w:ind w:left="1440" w:hanging="360"/>
      </w:pPr>
    </w:lvl>
    <w:lvl w:ilvl="2" w:tplc="F2E292EA">
      <w:start w:val="1"/>
      <w:numFmt w:val="lowerRoman"/>
      <w:lvlText w:val="%3."/>
      <w:lvlJc w:val="right"/>
      <w:pPr>
        <w:ind w:left="2160" w:hanging="180"/>
      </w:pPr>
    </w:lvl>
    <w:lvl w:ilvl="3" w:tplc="820A24CA">
      <w:start w:val="1"/>
      <w:numFmt w:val="decimal"/>
      <w:lvlText w:val="%4."/>
      <w:lvlJc w:val="left"/>
      <w:pPr>
        <w:ind w:left="2880" w:hanging="360"/>
      </w:pPr>
    </w:lvl>
    <w:lvl w:ilvl="4" w:tplc="B6A8D73C">
      <w:start w:val="1"/>
      <w:numFmt w:val="lowerLetter"/>
      <w:lvlText w:val="%5."/>
      <w:lvlJc w:val="left"/>
      <w:pPr>
        <w:ind w:left="3600" w:hanging="360"/>
      </w:pPr>
    </w:lvl>
    <w:lvl w:ilvl="5" w:tplc="B1802A74">
      <w:start w:val="1"/>
      <w:numFmt w:val="lowerRoman"/>
      <w:lvlText w:val="%6."/>
      <w:lvlJc w:val="right"/>
      <w:pPr>
        <w:ind w:left="4320" w:hanging="180"/>
      </w:pPr>
    </w:lvl>
    <w:lvl w:ilvl="6" w:tplc="08DC20F6">
      <w:start w:val="1"/>
      <w:numFmt w:val="decimal"/>
      <w:lvlText w:val="%7."/>
      <w:lvlJc w:val="left"/>
      <w:pPr>
        <w:ind w:left="5040" w:hanging="360"/>
      </w:pPr>
    </w:lvl>
    <w:lvl w:ilvl="7" w:tplc="FE78DA0E">
      <w:start w:val="1"/>
      <w:numFmt w:val="lowerLetter"/>
      <w:lvlText w:val="%8."/>
      <w:lvlJc w:val="left"/>
      <w:pPr>
        <w:ind w:left="5760" w:hanging="360"/>
      </w:pPr>
    </w:lvl>
    <w:lvl w:ilvl="8" w:tplc="DEC85936">
      <w:start w:val="1"/>
      <w:numFmt w:val="lowerRoman"/>
      <w:lvlText w:val="%9."/>
      <w:lvlJc w:val="right"/>
      <w:pPr>
        <w:ind w:left="6480" w:hanging="180"/>
      </w:pPr>
    </w:lvl>
  </w:abstractNum>
  <w:abstractNum w:abstractNumId="4" w15:restartNumberingAfterBreak="0">
    <w:nsid w:val="32B920BC"/>
    <w:multiLevelType w:val="hybridMultilevel"/>
    <w:tmpl w:val="19CA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31BDB"/>
    <w:multiLevelType w:val="hybridMultilevel"/>
    <w:tmpl w:val="A2F03AFC"/>
    <w:lvl w:ilvl="0" w:tplc="2ABA916A">
      <w:start w:val="1"/>
      <w:numFmt w:val="decimal"/>
      <w:lvlText w:val="%1."/>
      <w:lvlJc w:val="left"/>
      <w:pPr>
        <w:ind w:left="720" w:hanging="360"/>
      </w:pPr>
    </w:lvl>
    <w:lvl w:ilvl="1" w:tplc="F9BC2C76">
      <w:start w:val="1"/>
      <w:numFmt w:val="lowerLetter"/>
      <w:lvlText w:val="%2."/>
      <w:lvlJc w:val="left"/>
      <w:pPr>
        <w:ind w:left="1440" w:hanging="360"/>
      </w:pPr>
    </w:lvl>
    <w:lvl w:ilvl="2" w:tplc="2C6C89E6">
      <w:start w:val="1"/>
      <w:numFmt w:val="lowerRoman"/>
      <w:lvlText w:val="%3."/>
      <w:lvlJc w:val="right"/>
      <w:pPr>
        <w:ind w:left="2160" w:hanging="180"/>
      </w:pPr>
    </w:lvl>
    <w:lvl w:ilvl="3" w:tplc="AF12DC60">
      <w:start w:val="1"/>
      <w:numFmt w:val="decimal"/>
      <w:lvlText w:val="%4."/>
      <w:lvlJc w:val="left"/>
      <w:pPr>
        <w:ind w:left="2880" w:hanging="360"/>
      </w:pPr>
    </w:lvl>
    <w:lvl w:ilvl="4" w:tplc="1036372A">
      <w:start w:val="1"/>
      <w:numFmt w:val="lowerLetter"/>
      <w:lvlText w:val="%5."/>
      <w:lvlJc w:val="left"/>
      <w:pPr>
        <w:ind w:left="3600" w:hanging="360"/>
      </w:pPr>
    </w:lvl>
    <w:lvl w:ilvl="5" w:tplc="AA8E79C0">
      <w:start w:val="1"/>
      <w:numFmt w:val="lowerRoman"/>
      <w:lvlText w:val="%6."/>
      <w:lvlJc w:val="right"/>
      <w:pPr>
        <w:ind w:left="4320" w:hanging="180"/>
      </w:pPr>
    </w:lvl>
    <w:lvl w:ilvl="6" w:tplc="33B2B764">
      <w:start w:val="1"/>
      <w:numFmt w:val="decimal"/>
      <w:lvlText w:val="%7."/>
      <w:lvlJc w:val="left"/>
      <w:pPr>
        <w:ind w:left="5040" w:hanging="360"/>
      </w:pPr>
    </w:lvl>
    <w:lvl w:ilvl="7" w:tplc="16F65E22">
      <w:start w:val="1"/>
      <w:numFmt w:val="lowerLetter"/>
      <w:lvlText w:val="%8."/>
      <w:lvlJc w:val="left"/>
      <w:pPr>
        <w:ind w:left="5760" w:hanging="360"/>
      </w:pPr>
    </w:lvl>
    <w:lvl w:ilvl="8" w:tplc="C2945D78">
      <w:start w:val="1"/>
      <w:numFmt w:val="lowerRoman"/>
      <w:lvlText w:val="%9."/>
      <w:lvlJc w:val="right"/>
      <w:pPr>
        <w:ind w:left="6480" w:hanging="180"/>
      </w:pPr>
    </w:lvl>
  </w:abstractNum>
  <w:abstractNum w:abstractNumId="6" w15:restartNumberingAfterBreak="0">
    <w:nsid w:val="34EE3FD2"/>
    <w:multiLevelType w:val="hybridMultilevel"/>
    <w:tmpl w:val="38D48256"/>
    <w:lvl w:ilvl="0" w:tplc="B518E5FA">
      <w:start w:val="1"/>
      <w:numFmt w:val="decimal"/>
      <w:lvlText w:val="%1."/>
      <w:lvlJc w:val="left"/>
      <w:pPr>
        <w:ind w:left="720" w:hanging="360"/>
      </w:pPr>
    </w:lvl>
    <w:lvl w:ilvl="1" w:tplc="65CEF828">
      <w:start w:val="1"/>
      <w:numFmt w:val="lowerLetter"/>
      <w:lvlText w:val="%2."/>
      <w:lvlJc w:val="left"/>
      <w:pPr>
        <w:ind w:left="1440" w:hanging="360"/>
      </w:pPr>
    </w:lvl>
    <w:lvl w:ilvl="2" w:tplc="D2A458C0">
      <w:start w:val="1"/>
      <w:numFmt w:val="lowerRoman"/>
      <w:lvlText w:val="%3."/>
      <w:lvlJc w:val="right"/>
      <w:pPr>
        <w:ind w:left="2160" w:hanging="180"/>
      </w:pPr>
    </w:lvl>
    <w:lvl w:ilvl="3" w:tplc="288E2494">
      <w:start w:val="1"/>
      <w:numFmt w:val="decimal"/>
      <w:lvlText w:val="%4."/>
      <w:lvlJc w:val="left"/>
      <w:pPr>
        <w:ind w:left="2880" w:hanging="360"/>
      </w:pPr>
    </w:lvl>
    <w:lvl w:ilvl="4" w:tplc="9C923282">
      <w:start w:val="1"/>
      <w:numFmt w:val="lowerLetter"/>
      <w:lvlText w:val="%5."/>
      <w:lvlJc w:val="left"/>
      <w:pPr>
        <w:ind w:left="3600" w:hanging="360"/>
      </w:pPr>
    </w:lvl>
    <w:lvl w:ilvl="5" w:tplc="EF02AABC">
      <w:start w:val="1"/>
      <w:numFmt w:val="lowerRoman"/>
      <w:lvlText w:val="%6."/>
      <w:lvlJc w:val="right"/>
      <w:pPr>
        <w:ind w:left="4320" w:hanging="180"/>
      </w:pPr>
    </w:lvl>
    <w:lvl w:ilvl="6" w:tplc="9AF67E96">
      <w:start w:val="1"/>
      <w:numFmt w:val="decimal"/>
      <w:lvlText w:val="%7."/>
      <w:lvlJc w:val="left"/>
      <w:pPr>
        <w:ind w:left="5040" w:hanging="360"/>
      </w:pPr>
    </w:lvl>
    <w:lvl w:ilvl="7" w:tplc="E48C4AB2">
      <w:start w:val="1"/>
      <w:numFmt w:val="lowerLetter"/>
      <w:lvlText w:val="%8."/>
      <w:lvlJc w:val="left"/>
      <w:pPr>
        <w:ind w:left="5760" w:hanging="360"/>
      </w:pPr>
    </w:lvl>
    <w:lvl w:ilvl="8" w:tplc="E26019A2">
      <w:start w:val="1"/>
      <w:numFmt w:val="lowerRoman"/>
      <w:lvlText w:val="%9."/>
      <w:lvlJc w:val="right"/>
      <w:pPr>
        <w:ind w:left="6480" w:hanging="180"/>
      </w:pPr>
    </w:lvl>
  </w:abstractNum>
  <w:abstractNum w:abstractNumId="7" w15:restartNumberingAfterBreak="0">
    <w:nsid w:val="4925676C"/>
    <w:multiLevelType w:val="hybridMultilevel"/>
    <w:tmpl w:val="6ECE5AB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1A564E"/>
    <w:multiLevelType w:val="hybridMultilevel"/>
    <w:tmpl w:val="6ECE5AB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0A14C0"/>
    <w:multiLevelType w:val="hybridMultilevel"/>
    <w:tmpl w:val="E4567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43B20"/>
    <w:multiLevelType w:val="hybridMultilevel"/>
    <w:tmpl w:val="0B3A24A0"/>
    <w:lvl w:ilvl="0" w:tplc="6DEA0222">
      <w:start w:val="1"/>
      <w:numFmt w:val="decimal"/>
      <w:lvlText w:val="%1."/>
      <w:lvlJc w:val="left"/>
      <w:pPr>
        <w:ind w:left="720" w:hanging="360"/>
      </w:pPr>
    </w:lvl>
    <w:lvl w:ilvl="1" w:tplc="29F02762">
      <w:start w:val="1"/>
      <w:numFmt w:val="lowerLetter"/>
      <w:lvlText w:val="%2."/>
      <w:lvlJc w:val="left"/>
      <w:pPr>
        <w:ind w:left="1440" w:hanging="360"/>
      </w:pPr>
    </w:lvl>
    <w:lvl w:ilvl="2" w:tplc="4BF4536A">
      <w:start w:val="1"/>
      <w:numFmt w:val="lowerRoman"/>
      <w:lvlText w:val="%3."/>
      <w:lvlJc w:val="right"/>
      <w:pPr>
        <w:ind w:left="2160" w:hanging="180"/>
      </w:pPr>
    </w:lvl>
    <w:lvl w:ilvl="3" w:tplc="9DEE4FD4">
      <w:start w:val="1"/>
      <w:numFmt w:val="decimal"/>
      <w:lvlText w:val="%4."/>
      <w:lvlJc w:val="left"/>
      <w:pPr>
        <w:ind w:left="2880" w:hanging="360"/>
      </w:pPr>
    </w:lvl>
    <w:lvl w:ilvl="4" w:tplc="F5B6FCA2">
      <w:start w:val="1"/>
      <w:numFmt w:val="lowerLetter"/>
      <w:lvlText w:val="%5."/>
      <w:lvlJc w:val="left"/>
      <w:pPr>
        <w:ind w:left="3600" w:hanging="360"/>
      </w:pPr>
    </w:lvl>
    <w:lvl w:ilvl="5" w:tplc="5D60AB58">
      <w:start w:val="1"/>
      <w:numFmt w:val="lowerRoman"/>
      <w:lvlText w:val="%6."/>
      <w:lvlJc w:val="right"/>
      <w:pPr>
        <w:ind w:left="4320" w:hanging="180"/>
      </w:pPr>
    </w:lvl>
    <w:lvl w:ilvl="6" w:tplc="C6D67416">
      <w:start w:val="1"/>
      <w:numFmt w:val="decimal"/>
      <w:lvlText w:val="%7."/>
      <w:lvlJc w:val="left"/>
      <w:pPr>
        <w:ind w:left="5040" w:hanging="360"/>
      </w:pPr>
    </w:lvl>
    <w:lvl w:ilvl="7" w:tplc="EBD4BD08">
      <w:start w:val="1"/>
      <w:numFmt w:val="lowerLetter"/>
      <w:lvlText w:val="%8."/>
      <w:lvlJc w:val="left"/>
      <w:pPr>
        <w:ind w:left="5760" w:hanging="360"/>
      </w:pPr>
    </w:lvl>
    <w:lvl w:ilvl="8" w:tplc="60E827FC">
      <w:start w:val="1"/>
      <w:numFmt w:val="lowerRoman"/>
      <w:lvlText w:val="%9."/>
      <w:lvlJc w:val="right"/>
      <w:pPr>
        <w:ind w:left="6480" w:hanging="180"/>
      </w:pPr>
    </w:lvl>
  </w:abstractNum>
  <w:abstractNum w:abstractNumId="11" w15:restartNumberingAfterBreak="0">
    <w:nsid w:val="5B132C92"/>
    <w:multiLevelType w:val="hybridMultilevel"/>
    <w:tmpl w:val="5726DC74"/>
    <w:lvl w:ilvl="0" w:tplc="08F87994">
      <w:start w:val="1"/>
      <w:numFmt w:val="decimal"/>
      <w:lvlText w:val="%1."/>
      <w:lvlJc w:val="left"/>
      <w:pPr>
        <w:ind w:left="720" w:hanging="360"/>
      </w:pPr>
    </w:lvl>
    <w:lvl w:ilvl="1" w:tplc="AAC82A94">
      <w:start w:val="1"/>
      <w:numFmt w:val="lowerLetter"/>
      <w:lvlText w:val="%2."/>
      <w:lvlJc w:val="left"/>
      <w:pPr>
        <w:ind w:left="1440" w:hanging="360"/>
      </w:pPr>
    </w:lvl>
    <w:lvl w:ilvl="2" w:tplc="E9146158">
      <w:start w:val="1"/>
      <w:numFmt w:val="lowerRoman"/>
      <w:lvlText w:val="%3."/>
      <w:lvlJc w:val="right"/>
      <w:pPr>
        <w:ind w:left="2160" w:hanging="180"/>
      </w:pPr>
    </w:lvl>
    <w:lvl w:ilvl="3" w:tplc="002E6756">
      <w:start w:val="1"/>
      <w:numFmt w:val="decimal"/>
      <w:lvlText w:val="%4."/>
      <w:lvlJc w:val="left"/>
      <w:pPr>
        <w:ind w:left="2880" w:hanging="360"/>
      </w:pPr>
    </w:lvl>
    <w:lvl w:ilvl="4" w:tplc="A91AE342">
      <w:start w:val="1"/>
      <w:numFmt w:val="lowerLetter"/>
      <w:lvlText w:val="%5."/>
      <w:lvlJc w:val="left"/>
      <w:pPr>
        <w:ind w:left="3600" w:hanging="360"/>
      </w:pPr>
    </w:lvl>
    <w:lvl w:ilvl="5" w:tplc="FB84BE3E">
      <w:start w:val="1"/>
      <w:numFmt w:val="lowerRoman"/>
      <w:lvlText w:val="%6."/>
      <w:lvlJc w:val="right"/>
      <w:pPr>
        <w:ind w:left="4320" w:hanging="180"/>
      </w:pPr>
    </w:lvl>
    <w:lvl w:ilvl="6" w:tplc="DDD6DDE2">
      <w:start w:val="1"/>
      <w:numFmt w:val="decimal"/>
      <w:lvlText w:val="%7."/>
      <w:lvlJc w:val="left"/>
      <w:pPr>
        <w:ind w:left="5040" w:hanging="360"/>
      </w:pPr>
    </w:lvl>
    <w:lvl w:ilvl="7" w:tplc="C44E9760">
      <w:start w:val="1"/>
      <w:numFmt w:val="lowerLetter"/>
      <w:lvlText w:val="%8."/>
      <w:lvlJc w:val="left"/>
      <w:pPr>
        <w:ind w:left="5760" w:hanging="360"/>
      </w:pPr>
    </w:lvl>
    <w:lvl w:ilvl="8" w:tplc="DAF45334">
      <w:start w:val="1"/>
      <w:numFmt w:val="lowerRoman"/>
      <w:lvlText w:val="%9."/>
      <w:lvlJc w:val="right"/>
      <w:pPr>
        <w:ind w:left="6480" w:hanging="180"/>
      </w:pPr>
    </w:lvl>
  </w:abstractNum>
  <w:abstractNum w:abstractNumId="12" w15:restartNumberingAfterBreak="0">
    <w:nsid w:val="603344E7"/>
    <w:multiLevelType w:val="hybridMultilevel"/>
    <w:tmpl w:val="4224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C61130"/>
    <w:multiLevelType w:val="hybridMultilevel"/>
    <w:tmpl w:val="C63A1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692ECC"/>
    <w:multiLevelType w:val="hybridMultilevel"/>
    <w:tmpl w:val="CFBC0DC8"/>
    <w:lvl w:ilvl="0" w:tplc="B0B6E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415085"/>
    <w:multiLevelType w:val="hybridMultilevel"/>
    <w:tmpl w:val="A5C4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C163BE"/>
    <w:multiLevelType w:val="hybridMultilevel"/>
    <w:tmpl w:val="7FB487A6"/>
    <w:lvl w:ilvl="0" w:tplc="6DAE49DE">
      <w:start w:val="1"/>
      <w:numFmt w:val="decimal"/>
      <w:lvlText w:val="%1."/>
      <w:lvlJc w:val="left"/>
      <w:pPr>
        <w:ind w:left="720" w:hanging="360"/>
      </w:pPr>
    </w:lvl>
    <w:lvl w:ilvl="1" w:tplc="30EE689E">
      <w:start w:val="1"/>
      <w:numFmt w:val="lowerLetter"/>
      <w:lvlText w:val="%2."/>
      <w:lvlJc w:val="left"/>
      <w:pPr>
        <w:ind w:left="1440" w:hanging="360"/>
      </w:pPr>
    </w:lvl>
    <w:lvl w:ilvl="2" w:tplc="F2EE2DA2">
      <w:start w:val="1"/>
      <w:numFmt w:val="lowerRoman"/>
      <w:lvlText w:val="%3."/>
      <w:lvlJc w:val="right"/>
      <w:pPr>
        <w:ind w:left="2160" w:hanging="180"/>
      </w:pPr>
    </w:lvl>
    <w:lvl w:ilvl="3" w:tplc="F17EF340">
      <w:start w:val="1"/>
      <w:numFmt w:val="decimal"/>
      <w:lvlText w:val="%4."/>
      <w:lvlJc w:val="left"/>
      <w:pPr>
        <w:ind w:left="2880" w:hanging="360"/>
      </w:pPr>
    </w:lvl>
    <w:lvl w:ilvl="4" w:tplc="71A892FE">
      <w:start w:val="1"/>
      <w:numFmt w:val="lowerLetter"/>
      <w:lvlText w:val="%5."/>
      <w:lvlJc w:val="left"/>
      <w:pPr>
        <w:ind w:left="3600" w:hanging="360"/>
      </w:pPr>
    </w:lvl>
    <w:lvl w:ilvl="5" w:tplc="B18E407E">
      <w:start w:val="1"/>
      <w:numFmt w:val="lowerRoman"/>
      <w:lvlText w:val="%6."/>
      <w:lvlJc w:val="right"/>
      <w:pPr>
        <w:ind w:left="4320" w:hanging="180"/>
      </w:pPr>
    </w:lvl>
    <w:lvl w:ilvl="6" w:tplc="79040488">
      <w:start w:val="1"/>
      <w:numFmt w:val="decimal"/>
      <w:lvlText w:val="%7."/>
      <w:lvlJc w:val="left"/>
      <w:pPr>
        <w:ind w:left="5040" w:hanging="360"/>
      </w:pPr>
    </w:lvl>
    <w:lvl w:ilvl="7" w:tplc="2864F6D4">
      <w:start w:val="1"/>
      <w:numFmt w:val="lowerLetter"/>
      <w:lvlText w:val="%8."/>
      <w:lvlJc w:val="left"/>
      <w:pPr>
        <w:ind w:left="5760" w:hanging="360"/>
      </w:pPr>
    </w:lvl>
    <w:lvl w:ilvl="8" w:tplc="E8E8B928">
      <w:start w:val="1"/>
      <w:numFmt w:val="lowerRoman"/>
      <w:lvlText w:val="%9."/>
      <w:lvlJc w:val="right"/>
      <w:pPr>
        <w:ind w:left="6480" w:hanging="180"/>
      </w:pPr>
    </w:lvl>
  </w:abstractNum>
  <w:num w:numId="1">
    <w:abstractNumId w:val="3"/>
  </w:num>
  <w:num w:numId="2">
    <w:abstractNumId w:val="16"/>
  </w:num>
  <w:num w:numId="3">
    <w:abstractNumId w:val="11"/>
  </w:num>
  <w:num w:numId="4">
    <w:abstractNumId w:val="6"/>
  </w:num>
  <w:num w:numId="5">
    <w:abstractNumId w:val="10"/>
  </w:num>
  <w:num w:numId="6">
    <w:abstractNumId w:val="2"/>
  </w:num>
  <w:num w:numId="7">
    <w:abstractNumId w:val="5"/>
  </w:num>
  <w:num w:numId="8">
    <w:abstractNumId w:val="0"/>
  </w:num>
  <w:num w:numId="9">
    <w:abstractNumId w:val="9"/>
  </w:num>
  <w:num w:numId="10">
    <w:abstractNumId w:val="4"/>
  </w:num>
  <w:num w:numId="11">
    <w:abstractNumId w:val="13"/>
  </w:num>
  <w:num w:numId="12">
    <w:abstractNumId w:val="14"/>
  </w:num>
  <w:num w:numId="13">
    <w:abstractNumId w:val="8"/>
  </w:num>
  <w:num w:numId="14">
    <w:abstractNumId w:val="7"/>
  </w:num>
  <w:num w:numId="15">
    <w:abstractNumId w:val="15"/>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KwsDQ0NzAzNDU3tjBX0lEKTi0uzszPAykwNKoFAOFDMfstAAAA"/>
  </w:docVars>
  <w:rsids>
    <w:rsidRoot w:val="00600F07"/>
    <w:rsid w:val="000039CF"/>
    <w:rsid w:val="000322F7"/>
    <w:rsid w:val="000613B5"/>
    <w:rsid w:val="000703AC"/>
    <w:rsid w:val="0009620D"/>
    <w:rsid w:val="000B0415"/>
    <w:rsid w:val="000C3818"/>
    <w:rsid w:val="000D7C91"/>
    <w:rsid w:val="0010017F"/>
    <w:rsid w:val="00102D11"/>
    <w:rsid w:val="00121B5C"/>
    <w:rsid w:val="00130916"/>
    <w:rsid w:val="001346C8"/>
    <w:rsid w:val="00140996"/>
    <w:rsid w:val="00163C40"/>
    <w:rsid w:val="001671DC"/>
    <w:rsid w:val="001800E5"/>
    <w:rsid w:val="001F51FA"/>
    <w:rsid w:val="001F53D4"/>
    <w:rsid w:val="001F5FBD"/>
    <w:rsid w:val="00204BD8"/>
    <w:rsid w:val="00212779"/>
    <w:rsid w:val="00216F09"/>
    <w:rsid w:val="002350C5"/>
    <w:rsid w:val="00254018"/>
    <w:rsid w:val="00254E96"/>
    <w:rsid w:val="002A728A"/>
    <w:rsid w:val="002B708A"/>
    <w:rsid w:val="003145E2"/>
    <w:rsid w:val="003244E4"/>
    <w:rsid w:val="00335EA3"/>
    <w:rsid w:val="003433E1"/>
    <w:rsid w:val="00351262"/>
    <w:rsid w:val="00361EE4"/>
    <w:rsid w:val="00366842"/>
    <w:rsid w:val="003703D3"/>
    <w:rsid w:val="003C68CA"/>
    <w:rsid w:val="003E298C"/>
    <w:rsid w:val="003E57D0"/>
    <w:rsid w:val="00422476"/>
    <w:rsid w:val="004228E2"/>
    <w:rsid w:val="00476BCE"/>
    <w:rsid w:val="00493115"/>
    <w:rsid w:val="00514E49"/>
    <w:rsid w:val="00516975"/>
    <w:rsid w:val="00520C13"/>
    <w:rsid w:val="00527A47"/>
    <w:rsid w:val="0055397F"/>
    <w:rsid w:val="0055601C"/>
    <w:rsid w:val="00570B37"/>
    <w:rsid w:val="0058728B"/>
    <w:rsid w:val="005B4957"/>
    <w:rsid w:val="005B5807"/>
    <w:rsid w:val="005B7F0C"/>
    <w:rsid w:val="005E5B89"/>
    <w:rsid w:val="005E5D64"/>
    <w:rsid w:val="005F75E8"/>
    <w:rsid w:val="00600F07"/>
    <w:rsid w:val="006012E0"/>
    <w:rsid w:val="00605A7D"/>
    <w:rsid w:val="006716AC"/>
    <w:rsid w:val="00696B03"/>
    <w:rsid w:val="006E735E"/>
    <w:rsid w:val="00710DF5"/>
    <w:rsid w:val="00713FD5"/>
    <w:rsid w:val="007225FD"/>
    <w:rsid w:val="00730F29"/>
    <w:rsid w:val="00750F92"/>
    <w:rsid w:val="00756444"/>
    <w:rsid w:val="00763F67"/>
    <w:rsid w:val="00765636"/>
    <w:rsid w:val="007802BA"/>
    <w:rsid w:val="00782E83"/>
    <w:rsid w:val="00797803"/>
    <w:rsid w:val="007C0E80"/>
    <w:rsid w:val="007D1DD1"/>
    <w:rsid w:val="007E5866"/>
    <w:rsid w:val="007E592A"/>
    <w:rsid w:val="007F65CD"/>
    <w:rsid w:val="00811841"/>
    <w:rsid w:val="00821491"/>
    <w:rsid w:val="00854DFE"/>
    <w:rsid w:val="00857C8B"/>
    <w:rsid w:val="00885A1F"/>
    <w:rsid w:val="00893048"/>
    <w:rsid w:val="008A11D6"/>
    <w:rsid w:val="008D56DE"/>
    <w:rsid w:val="008E6600"/>
    <w:rsid w:val="008F0124"/>
    <w:rsid w:val="00915D83"/>
    <w:rsid w:val="009347BA"/>
    <w:rsid w:val="00953CDA"/>
    <w:rsid w:val="00985761"/>
    <w:rsid w:val="0098727F"/>
    <w:rsid w:val="00993749"/>
    <w:rsid w:val="009B0983"/>
    <w:rsid w:val="009C5DF7"/>
    <w:rsid w:val="009D460F"/>
    <w:rsid w:val="009F6898"/>
    <w:rsid w:val="00A13DA9"/>
    <w:rsid w:val="00A3466B"/>
    <w:rsid w:val="00A37DCB"/>
    <w:rsid w:val="00A44485"/>
    <w:rsid w:val="00A669F2"/>
    <w:rsid w:val="00AA1A9A"/>
    <w:rsid w:val="00AD5D8C"/>
    <w:rsid w:val="00AF3D48"/>
    <w:rsid w:val="00AF7E27"/>
    <w:rsid w:val="00B04290"/>
    <w:rsid w:val="00B226E8"/>
    <w:rsid w:val="00B34E97"/>
    <w:rsid w:val="00B51AA1"/>
    <w:rsid w:val="00B53039"/>
    <w:rsid w:val="00B6352E"/>
    <w:rsid w:val="00B77F17"/>
    <w:rsid w:val="00B91122"/>
    <w:rsid w:val="00B965FC"/>
    <w:rsid w:val="00B96F87"/>
    <w:rsid w:val="00BA62F7"/>
    <w:rsid w:val="00BB087C"/>
    <w:rsid w:val="00BC2186"/>
    <w:rsid w:val="00BD2AFC"/>
    <w:rsid w:val="00BE770E"/>
    <w:rsid w:val="00BF56D4"/>
    <w:rsid w:val="00BF6C40"/>
    <w:rsid w:val="00C36DCB"/>
    <w:rsid w:val="00C45EE8"/>
    <w:rsid w:val="00C803BD"/>
    <w:rsid w:val="00C90845"/>
    <w:rsid w:val="00CB039D"/>
    <w:rsid w:val="00D01818"/>
    <w:rsid w:val="00D113C6"/>
    <w:rsid w:val="00D16092"/>
    <w:rsid w:val="00D17311"/>
    <w:rsid w:val="00D22E41"/>
    <w:rsid w:val="00D50377"/>
    <w:rsid w:val="00D5070F"/>
    <w:rsid w:val="00D622FC"/>
    <w:rsid w:val="00D62BA9"/>
    <w:rsid w:val="00D9270E"/>
    <w:rsid w:val="00DA3399"/>
    <w:rsid w:val="00DA6EDE"/>
    <w:rsid w:val="00DB32F8"/>
    <w:rsid w:val="00DB60E2"/>
    <w:rsid w:val="00DF7078"/>
    <w:rsid w:val="00E0092E"/>
    <w:rsid w:val="00E22DB9"/>
    <w:rsid w:val="00E45611"/>
    <w:rsid w:val="00E51D7B"/>
    <w:rsid w:val="00E53E1B"/>
    <w:rsid w:val="00EA32DC"/>
    <w:rsid w:val="00ED2E66"/>
    <w:rsid w:val="00EE19D5"/>
    <w:rsid w:val="00F06A45"/>
    <w:rsid w:val="00F13901"/>
    <w:rsid w:val="00F30B78"/>
    <w:rsid w:val="00F42F36"/>
    <w:rsid w:val="00F57F92"/>
    <w:rsid w:val="00FA1575"/>
    <w:rsid w:val="00FC5C86"/>
    <w:rsid w:val="00FE7389"/>
    <w:rsid w:val="00FF0696"/>
    <w:rsid w:val="00FF4F3E"/>
    <w:rsid w:val="14C7C2B0"/>
    <w:rsid w:val="19EB93E7"/>
    <w:rsid w:val="1C30C1DB"/>
    <w:rsid w:val="200C4643"/>
    <w:rsid w:val="374DB7F2"/>
    <w:rsid w:val="3891EC0C"/>
    <w:rsid w:val="3CEB1E74"/>
    <w:rsid w:val="47126598"/>
    <w:rsid w:val="6924E9DA"/>
    <w:rsid w:val="722D7DE8"/>
    <w:rsid w:val="75EB64A7"/>
    <w:rsid w:val="78742703"/>
    <w:rsid w:val="7C873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F581"/>
  <w15:chartTrackingRefBased/>
  <w15:docId w15:val="{8C89BB0C-E3BF-4670-9274-8A70C55C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6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D56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E58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E58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6ED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A6E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6EDE"/>
    <w:rPr>
      <w:sz w:val="20"/>
      <w:szCs w:val="20"/>
    </w:rPr>
  </w:style>
  <w:style w:type="character" w:styleId="FootnoteReference">
    <w:name w:val="footnote reference"/>
    <w:basedOn w:val="DefaultParagraphFont"/>
    <w:uiPriority w:val="99"/>
    <w:semiHidden/>
    <w:unhideWhenUsed/>
    <w:rsid w:val="00DA6EDE"/>
    <w:rPr>
      <w:vertAlign w:val="superscript"/>
    </w:rPr>
  </w:style>
  <w:style w:type="character" w:styleId="Hyperlink">
    <w:name w:val="Hyperlink"/>
    <w:basedOn w:val="DefaultParagraphFont"/>
    <w:uiPriority w:val="99"/>
    <w:unhideWhenUsed/>
    <w:rsid w:val="00DA6EDE"/>
    <w:rPr>
      <w:color w:val="0563C1" w:themeColor="hyperlink"/>
      <w:u w:val="single"/>
    </w:rPr>
  </w:style>
  <w:style w:type="character" w:styleId="CommentReference">
    <w:name w:val="annotation reference"/>
    <w:basedOn w:val="DefaultParagraphFont"/>
    <w:uiPriority w:val="99"/>
    <w:semiHidden/>
    <w:unhideWhenUsed/>
    <w:rsid w:val="0010017F"/>
    <w:rPr>
      <w:sz w:val="16"/>
      <w:szCs w:val="16"/>
    </w:rPr>
  </w:style>
  <w:style w:type="paragraph" w:styleId="CommentText">
    <w:name w:val="annotation text"/>
    <w:basedOn w:val="Normal"/>
    <w:link w:val="CommentTextChar"/>
    <w:uiPriority w:val="99"/>
    <w:semiHidden/>
    <w:unhideWhenUsed/>
    <w:rsid w:val="0010017F"/>
    <w:pPr>
      <w:spacing w:line="240" w:lineRule="auto"/>
    </w:pPr>
    <w:rPr>
      <w:sz w:val="20"/>
      <w:szCs w:val="20"/>
    </w:rPr>
  </w:style>
  <w:style w:type="character" w:customStyle="1" w:styleId="CommentTextChar">
    <w:name w:val="Comment Text Char"/>
    <w:basedOn w:val="DefaultParagraphFont"/>
    <w:link w:val="CommentText"/>
    <w:uiPriority w:val="99"/>
    <w:semiHidden/>
    <w:rsid w:val="0010017F"/>
    <w:rPr>
      <w:sz w:val="20"/>
      <w:szCs w:val="20"/>
    </w:rPr>
  </w:style>
  <w:style w:type="paragraph" w:styleId="CommentSubject">
    <w:name w:val="annotation subject"/>
    <w:basedOn w:val="CommentText"/>
    <w:next w:val="CommentText"/>
    <w:link w:val="CommentSubjectChar"/>
    <w:uiPriority w:val="99"/>
    <w:semiHidden/>
    <w:unhideWhenUsed/>
    <w:rsid w:val="0010017F"/>
    <w:rPr>
      <w:b/>
      <w:bCs/>
    </w:rPr>
  </w:style>
  <w:style w:type="character" w:customStyle="1" w:styleId="CommentSubjectChar">
    <w:name w:val="Comment Subject Char"/>
    <w:basedOn w:val="CommentTextChar"/>
    <w:link w:val="CommentSubject"/>
    <w:uiPriority w:val="99"/>
    <w:semiHidden/>
    <w:rsid w:val="0010017F"/>
    <w:rPr>
      <w:b/>
      <w:bCs/>
      <w:sz w:val="20"/>
      <w:szCs w:val="20"/>
    </w:rPr>
  </w:style>
  <w:style w:type="paragraph" w:styleId="BalloonText">
    <w:name w:val="Balloon Text"/>
    <w:basedOn w:val="Normal"/>
    <w:link w:val="BalloonTextChar"/>
    <w:uiPriority w:val="99"/>
    <w:semiHidden/>
    <w:unhideWhenUsed/>
    <w:rsid w:val="00100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17F"/>
    <w:rPr>
      <w:rFonts w:ascii="Segoe UI" w:hAnsi="Segoe UI" w:cs="Segoe UI"/>
      <w:sz w:val="18"/>
      <w:szCs w:val="18"/>
    </w:rPr>
  </w:style>
  <w:style w:type="paragraph" w:styleId="EndnoteText">
    <w:name w:val="endnote text"/>
    <w:basedOn w:val="Normal"/>
    <w:link w:val="EndnoteTextChar"/>
    <w:uiPriority w:val="99"/>
    <w:semiHidden/>
    <w:unhideWhenUsed/>
    <w:rsid w:val="00102D11"/>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sid w:val="00102D11"/>
    <w:rPr>
      <w:sz w:val="20"/>
      <w:szCs w:val="20"/>
      <w:lang w:val="en-GB"/>
    </w:rPr>
  </w:style>
  <w:style w:type="character" w:styleId="EndnoteReference">
    <w:name w:val="endnote reference"/>
    <w:basedOn w:val="DefaultParagraphFont"/>
    <w:uiPriority w:val="99"/>
    <w:semiHidden/>
    <w:unhideWhenUsed/>
    <w:rsid w:val="00102D11"/>
    <w:rPr>
      <w:vertAlign w:val="superscript"/>
    </w:rPr>
  </w:style>
  <w:style w:type="paragraph" w:styleId="ListParagraph">
    <w:name w:val="List Paragraph"/>
    <w:basedOn w:val="Normal"/>
    <w:uiPriority w:val="34"/>
    <w:qFormat/>
    <w:rsid w:val="00B77F17"/>
    <w:pPr>
      <w:ind w:left="720"/>
      <w:contextualSpacing/>
    </w:pPr>
  </w:style>
  <w:style w:type="paragraph" w:styleId="PlainText">
    <w:name w:val="Plain Text"/>
    <w:basedOn w:val="Normal"/>
    <w:link w:val="PlainTextChar"/>
    <w:rsid w:val="00750F9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50F92"/>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8D56D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D56D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E586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E5866"/>
    <w:rPr>
      <w:rFonts w:asciiTheme="majorHAnsi" w:eastAsiaTheme="majorEastAsia" w:hAnsiTheme="majorHAnsi" w:cstheme="majorBidi"/>
      <w:i/>
      <w:iCs/>
      <w:color w:val="2E74B5" w:themeColor="accent1" w:themeShade="BF"/>
    </w:rPr>
  </w:style>
  <w:style w:type="paragraph" w:styleId="NoSpacing">
    <w:name w:val="No Spacing"/>
    <w:uiPriority w:val="1"/>
    <w:qFormat/>
    <w:rsid w:val="007E5866"/>
    <w:pPr>
      <w:spacing w:after="0" w:line="240" w:lineRule="auto"/>
    </w:pPr>
  </w:style>
  <w:style w:type="table" w:styleId="TableGrid">
    <w:name w:val="Table Grid"/>
    <w:basedOn w:val="TableNormal"/>
    <w:uiPriority w:val="39"/>
    <w:rsid w:val="00FE738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D1DD1"/>
    <w:pPr>
      <w:autoSpaceDE w:val="0"/>
      <w:autoSpaceDN w:val="0"/>
      <w:adjustRightInd w:val="0"/>
      <w:spacing w:after="0" w:line="240" w:lineRule="auto"/>
    </w:pPr>
    <w:rPr>
      <w:rFonts w:ascii="Calibri" w:hAnsi="Calibri" w:cs="Calibri"/>
      <w:b/>
      <w:bCs/>
    </w:rPr>
  </w:style>
  <w:style w:type="character" w:customStyle="1" w:styleId="BodyTextChar">
    <w:name w:val="Body Text Char"/>
    <w:basedOn w:val="DefaultParagraphFont"/>
    <w:link w:val="BodyText"/>
    <w:uiPriority w:val="1"/>
    <w:rsid w:val="007D1DD1"/>
    <w:rPr>
      <w:rFonts w:ascii="Calibri" w:hAnsi="Calibri" w:cs="Calibri"/>
      <w:b/>
      <w:bCs/>
    </w:rPr>
  </w:style>
  <w:style w:type="paragraph" w:customStyle="1" w:styleId="TableParagraph">
    <w:name w:val="Table Paragraph"/>
    <w:basedOn w:val="Normal"/>
    <w:uiPriority w:val="1"/>
    <w:qFormat/>
    <w:rsid w:val="007D1DD1"/>
    <w:pPr>
      <w:autoSpaceDE w:val="0"/>
      <w:autoSpaceDN w:val="0"/>
      <w:adjustRightInd w:val="0"/>
      <w:spacing w:after="0" w:line="248" w:lineRule="exact"/>
      <w:ind w:left="107"/>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392919">
      <w:bodyDiv w:val="1"/>
      <w:marLeft w:val="0"/>
      <w:marRight w:val="0"/>
      <w:marTop w:val="0"/>
      <w:marBottom w:val="0"/>
      <w:divBdr>
        <w:top w:val="none" w:sz="0" w:space="0" w:color="auto"/>
        <w:left w:val="none" w:sz="0" w:space="0" w:color="auto"/>
        <w:bottom w:val="none" w:sz="0" w:space="0" w:color="auto"/>
        <w:right w:val="none" w:sz="0" w:space="0" w:color="auto"/>
      </w:divBdr>
    </w:div>
    <w:div w:id="1994331442">
      <w:bodyDiv w:val="1"/>
      <w:marLeft w:val="0"/>
      <w:marRight w:val="0"/>
      <w:marTop w:val="0"/>
      <w:marBottom w:val="0"/>
      <w:divBdr>
        <w:top w:val="none" w:sz="0" w:space="0" w:color="auto"/>
        <w:left w:val="none" w:sz="0" w:space="0" w:color="auto"/>
        <w:bottom w:val="none" w:sz="0" w:space="0" w:color="auto"/>
        <w:right w:val="none" w:sz="0" w:space="0" w:color="auto"/>
      </w:divBdr>
      <w:divsChild>
        <w:div w:id="1686517443">
          <w:marLeft w:val="0"/>
          <w:marRight w:val="0"/>
          <w:marTop w:val="0"/>
          <w:marBottom w:val="0"/>
          <w:divBdr>
            <w:top w:val="none" w:sz="0" w:space="0" w:color="auto"/>
            <w:left w:val="none" w:sz="0" w:space="0" w:color="auto"/>
            <w:bottom w:val="none" w:sz="0" w:space="0" w:color="auto"/>
            <w:right w:val="none" w:sz="0" w:space="0" w:color="auto"/>
          </w:divBdr>
        </w:div>
        <w:div w:id="1606227992">
          <w:marLeft w:val="0"/>
          <w:marRight w:val="0"/>
          <w:marTop w:val="0"/>
          <w:marBottom w:val="0"/>
          <w:divBdr>
            <w:top w:val="none" w:sz="0" w:space="0" w:color="auto"/>
            <w:left w:val="none" w:sz="0" w:space="0" w:color="auto"/>
            <w:bottom w:val="none" w:sz="0" w:space="0" w:color="auto"/>
            <w:right w:val="none" w:sz="0" w:space="0" w:color="auto"/>
          </w:divBdr>
        </w:div>
        <w:div w:id="1914971948">
          <w:marLeft w:val="0"/>
          <w:marRight w:val="0"/>
          <w:marTop w:val="0"/>
          <w:marBottom w:val="0"/>
          <w:divBdr>
            <w:top w:val="none" w:sz="0" w:space="0" w:color="auto"/>
            <w:left w:val="none" w:sz="0" w:space="0" w:color="auto"/>
            <w:bottom w:val="none" w:sz="0" w:space="0" w:color="auto"/>
            <w:right w:val="none" w:sz="0" w:space="0" w:color="auto"/>
          </w:divBdr>
        </w:div>
        <w:div w:id="1669677828">
          <w:marLeft w:val="0"/>
          <w:marRight w:val="0"/>
          <w:marTop w:val="0"/>
          <w:marBottom w:val="0"/>
          <w:divBdr>
            <w:top w:val="none" w:sz="0" w:space="0" w:color="auto"/>
            <w:left w:val="none" w:sz="0" w:space="0" w:color="auto"/>
            <w:bottom w:val="none" w:sz="0" w:space="0" w:color="auto"/>
            <w:right w:val="none" w:sz="0" w:space="0" w:color="auto"/>
          </w:divBdr>
        </w:div>
        <w:div w:id="17195251">
          <w:marLeft w:val="0"/>
          <w:marRight w:val="0"/>
          <w:marTop w:val="0"/>
          <w:marBottom w:val="0"/>
          <w:divBdr>
            <w:top w:val="none" w:sz="0" w:space="0" w:color="auto"/>
            <w:left w:val="none" w:sz="0" w:space="0" w:color="auto"/>
            <w:bottom w:val="none" w:sz="0" w:space="0" w:color="auto"/>
            <w:right w:val="none" w:sz="0" w:space="0" w:color="auto"/>
          </w:divBdr>
          <w:divsChild>
            <w:div w:id="396902450">
              <w:marLeft w:val="0"/>
              <w:marRight w:val="0"/>
              <w:marTop w:val="0"/>
              <w:marBottom w:val="0"/>
              <w:divBdr>
                <w:top w:val="none" w:sz="0" w:space="0" w:color="auto"/>
                <w:left w:val="none" w:sz="0" w:space="0" w:color="auto"/>
                <w:bottom w:val="none" w:sz="0" w:space="0" w:color="auto"/>
                <w:right w:val="none" w:sz="0" w:space="0" w:color="auto"/>
              </w:divBdr>
            </w:div>
            <w:div w:id="1806657029">
              <w:marLeft w:val="0"/>
              <w:marRight w:val="0"/>
              <w:marTop w:val="0"/>
              <w:marBottom w:val="0"/>
              <w:divBdr>
                <w:top w:val="none" w:sz="0" w:space="0" w:color="auto"/>
                <w:left w:val="none" w:sz="0" w:space="0" w:color="auto"/>
                <w:bottom w:val="none" w:sz="0" w:space="0" w:color="auto"/>
                <w:right w:val="none" w:sz="0" w:space="0" w:color="auto"/>
              </w:divBdr>
            </w:div>
            <w:div w:id="1977947886">
              <w:marLeft w:val="0"/>
              <w:marRight w:val="0"/>
              <w:marTop w:val="0"/>
              <w:marBottom w:val="0"/>
              <w:divBdr>
                <w:top w:val="none" w:sz="0" w:space="0" w:color="auto"/>
                <w:left w:val="none" w:sz="0" w:space="0" w:color="auto"/>
                <w:bottom w:val="none" w:sz="0" w:space="0" w:color="auto"/>
                <w:right w:val="none" w:sz="0" w:space="0" w:color="auto"/>
              </w:divBdr>
            </w:div>
            <w:div w:id="838470939">
              <w:marLeft w:val="0"/>
              <w:marRight w:val="0"/>
              <w:marTop w:val="0"/>
              <w:marBottom w:val="0"/>
              <w:divBdr>
                <w:top w:val="none" w:sz="0" w:space="0" w:color="auto"/>
                <w:left w:val="none" w:sz="0" w:space="0" w:color="auto"/>
                <w:bottom w:val="none" w:sz="0" w:space="0" w:color="auto"/>
                <w:right w:val="none" w:sz="0" w:space="0" w:color="auto"/>
              </w:divBdr>
            </w:div>
            <w:div w:id="1624799412">
              <w:marLeft w:val="0"/>
              <w:marRight w:val="0"/>
              <w:marTop w:val="0"/>
              <w:marBottom w:val="0"/>
              <w:divBdr>
                <w:top w:val="none" w:sz="0" w:space="0" w:color="auto"/>
                <w:left w:val="none" w:sz="0" w:space="0" w:color="auto"/>
                <w:bottom w:val="none" w:sz="0" w:space="0" w:color="auto"/>
                <w:right w:val="none" w:sz="0" w:space="0" w:color="auto"/>
              </w:divBdr>
            </w:div>
            <w:div w:id="1073162167">
              <w:marLeft w:val="0"/>
              <w:marRight w:val="0"/>
              <w:marTop w:val="0"/>
              <w:marBottom w:val="0"/>
              <w:divBdr>
                <w:top w:val="none" w:sz="0" w:space="0" w:color="auto"/>
                <w:left w:val="none" w:sz="0" w:space="0" w:color="auto"/>
                <w:bottom w:val="none" w:sz="0" w:space="0" w:color="auto"/>
                <w:right w:val="none" w:sz="0" w:space="0" w:color="auto"/>
              </w:divBdr>
            </w:div>
            <w:div w:id="449981747">
              <w:marLeft w:val="0"/>
              <w:marRight w:val="0"/>
              <w:marTop w:val="0"/>
              <w:marBottom w:val="0"/>
              <w:divBdr>
                <w:top w:val="none" w:sz="0" w:space="0" w:color="auto"/>
                <w:left w:val="none" w:sz="0" w:space="0" w:color="auto"/>
                <w:bottom w:val="none" w:sz="0" w:space="0" w:color="auto"/>
                <w:right w:val="none" w:sz="0" w:space="0" w:color="auto"/>
              </w:divBdr>
            </w:div>
            <w:div w:id="242566043">
              <w:marLeft w:val="0"/>
              <w:marRight w:val="0"/>
              <w:marTop w:val="0"/>
              <w:marBottom w:val="0"/>
              <w:divBdr>
                <w:top w:val="none" w:sz="0" w:space="0" w:color="auto"/>
                <w:left w:val="none" w:sz="0" w:space="0" w:color="auto"/>
                <w:bottom w:val="none" w:sz="0" w:space="0" w:color="auto"/>
                <w:right w:val="none" w:sz="0" w:space="0" w:color="auto"/>
              </w:divBdr>
            </w:div>
            <w:div w:id="801844203">
              <w:marLeft w:val="0"/>
              <w:marRight w:val="0"/>
              <w:marTop w:val="0"/>
              <w:marBottom w:val="0"/>
              <w:divBdr>
                <w:top w:val="none" w:sz="0" w:space="0" w:color="auto"/>
                <w:left w:val="none" w:sz="0" w:space="0" w:color="auto"/>
                <w:bottom w:val="none" w:sz="0" w:space="0" w:color="auto"/>
                <w:right w:val="none" w:sz="0" w:space="0" w:color="auto"/>
              </w:divBdr>
            </w:div>
            <w:div w:id="2078353447">
              <w:marLeft w:val="0"/>
              <w:marRight w:val="0"/>
              <w:marTop w:val="0"/>
              <w:marBottom w:val="0"/>
              <w:divBdr>
                <w:top w:val="none" w:sz="0" w:space="0" w:color="auto"/>
                <w:left w:val="none" w:sz="0" w:space="0" w:color="auto"/>
                <w:bottom w:val="none" w:sz="0" w:space="0" w:color="auto"/>
                <w:right w:val="none" w:sz="0" w:space="0" w:color="auto"/>
              </w:divBdr>
            </w:div>
            <w:div w:id="1920750558">
              <w:marLeft w:val="0"/>
              <w:marRight w:val="0"/>
              <w:marTop w:val="0"/>
              <w:marBottom w:val="0"/>
              <w:divBdr>
                <w:top w:val="none" w:sz="0" w:space="0" w:color="auto"/>
                <w:left w:val="none" w:sz="0" w:space="0" w:color="auto"/>
                <w:bottom w:val="none" w:sz="0" w:space="0" w:color="auto"/>
                <w:right w:val="none" w:sz="0" w:space="0" w:color="auto"/>
              </w:divBdr>
            </w:div>
            <w:div w:id="330722050">
              <w:marLeft w:val="0"/>
              <w:marRight w:val="0"/>
              <w:marTop w:val="0"/>
              <w:marBottom w:val="0"/>
              <w:divBdr>
                <w:top w:val="none" w:sz="0" w:space="0" w:color="auto"/>
                <w:left w:val="none" w:sz="0" w:space="0" w:color="auto"/>
                <w:bottom w:val="none" w:sz="0" w:space="0" w:color="auto"/>
                <w:right w:val="none" w:sz="0" w:space="0" w:color="auto"/>
              </w:divBdr>
            </w:div>
            <w:div w:id="1351491222">
              <w:marLeft w:val="0"/>
              <w:marRight w:val="0"/>
              <w:marTop w:val="0"/>
              <w:marBottom w:val="0"/>
              <w:divBdr>
                <w:top w:val="none" w:sz="0" w:space="0" w:color="auto"/>
                <w:left w:val="none" w:sz="0" w:space="0" w:color="auto"/>
                <w:bottom w:val="none" w:sz="0" w:space="0" w:color="auto"/>
                <w:right w:val="none" w:sz="0" w:space="0" w:color="auto"/>
              </w:divBdr>
            </w:div>
            <w:div w:id="1892156393">
              <w:marLeft w:val="0"/>
              <w:marRight w:val="0"/>
              <w:marTop w:val="0"/>
              <w:marBottom w:val="0"/>
              <w:divBdr>
                <w:top w:val="none" w:sz="0" w:space="0" w:color="auto"/>
                <w:left w:val="none" w:sz="0" w:space="0" w:color="auto"/>
                <w:bottom w:val="none" w:sz="0" w:space="0" w:color="auto"/>
                <w:right w:val="none" w:sz="0" w:space="0" w:color="auto"/>
              </w:divBdr>
            </w:div>
            <w:div w:id="2124641503">
              <w:marLeft w:val="0"/>
              <w:marRight w:val="0"/>
              <w:marTop w:val="0"/>
              <w:marBottom w:val="0"/>
              <w:divBdr>
                <w:top w:val="none" w:sz="0" w:space="0" w:color="auto"/>
                <w:left w:val="none" w:sz="0" w:space="0" w:color="auto"/>
                <w:bottom w:val="none" w:sz="0" w:space="0" w:color="auto"/>
                <w:right w:val="none" w:sz="0" w:space="0" w:color="auto"/>
              </w:divBdr>
            </w:div>
            <w:div w:id="969474815">
              <w:marLeft w:val="0"/>
              <w:marRight w:val="0"/>
              <w:marTop w:val="0"/>
              <w:marBottom w:val="0"/>
              <w:divBdr>
                <w:top w:val="none" w:sz="0" w:space="0" w:color="auto"/>
                <w:left w:val="none" w:sz="0" w:space="0" w:color="auto"/>
                <w:bottom w:val="none" w:sz="0" w:space="0" w:color="auto"/>
                <w:right w:val="none" w:sz="0" w:space="0" w:color="auto"/>
              </w:divBdr>
            </w:div>
            <w:div w:id="1755080146">
              <w:marLeft w:val="0"/>
              <w:marRight w:val="0"/>
              <w:marTop w:val="0"/>
              <w:marBottom w:val="0"/>
              <w:divBdr>
                <w:top w:val="none" w:sz="0" w:space="0" w:color="auto"/>
                <w:left w:val="none" w:sz="0" w:space="0" w:color="auto"/>
                <w:bottom w:val="none" w:sz="0" w:space="0" w:color="auto"/>
                <w:right w:val="none" w:sz="0" w:space="0" w:color="auto"/>
              </w:divBdr>
            </w:div>
            <w:div w:id="1237742119">
              <w:marLeft w:val="0"/>
              <w:marRight w:val="0"/>
              <w:marTop w:val="0"/>
              <w:marBottom w:val="0"/>
              <w:divBdr>
                <w:top w:val="none" w:sz="0" w:space="0" w:color="auto"/>
                <w:left w:val="none" w:sz="0" w:space="0" w:color="auto"/>
                <w:bottom w:val="none" w:sz="0" w:space="0" w:color="auto"/>
                <w:right w:val="none" w:sz="0" w:space="0" w:color="auto"/>
              </w:divBdr>
            </w:div>
            <w:div w:id="1587104611">
              <w:marLeft w:val="0"/>
              <w:marRight w:val="0"/>
              <w:marTop w:val="0"/>
              <w:marBottom w:val="0"/>
              <w:divBdr>
                <w:top w:val="none" w:sz="0" w:space="0" w:color="auto"/>
                <w:left w:val="none" w:sz="0" w:space="0" w:color="auto"/>
                <w:bottom w:val="none" w:sz="0" w:space="0" w:color="auto"/>
                <w:right w:val="none" w:sz="0" w:space="0" w:color="auto"/>
              </w:divBdr>
            </w:div>
            <w:div w:id="6724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su.edu/aad/manuals/acd/acd506-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03CB2-619D-4815-AC44-EC53797A4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2511</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Maguire</dc:creator>
  <cp:keywords/>
  <dc:description/>
  <cp:lastModifiedBy>Sara McVey</cp:lastModifiedBy>
  <cp:revision>2</cp:revision>
  <dcterms:created xsi:type="dcterms:W3CDTF">2021-08-09T16:26:00Z</dcterms:created>
  <dcterms:modified xsi:type="dcterms:W3CDTF">2021-08-09T16:26:00Z</dcterms:modified>
</cp:coreProperties>
</file>