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38" w:rsidRDefault="00103D78">
      <w:pPr>
        <w:pStyle w:val="BodyText"/>
        <w:ind w:left="3820"/>
        <w:rPr>
          <w:sz w:val="20"/>
        </w:rPr>
      </w:pPr>
      <w:r>
        <w:rPr>
          <w:noProof/>
          <w:sz w:val="20"/>
        </w:rPr>
        <w:drawing>
          <wp:inline distT="0" distB="0" distL="0" distR="0">
            <wp:extent cx="1906506" cy="554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6506" cy="554735"/>
                    </a:xfrm>
                    <a:prstGeom prst="rect">
                      <a:avLst/>
                    </a:prstGeom>
                  </pic:spPr>
                </pic:pic>
              </a:graphicData>
            </a:graphic>
          </wp:inline>
        </w:drawing>
      </w:r>
    </w:p>
    <w:p w:rsidR="007B3A38" w:rsidRDefault="007B3A38">
      <w:pPr>
        <w:pStyle w:val="BodyText"/>
        <w:rPr>
          <w:sz w:val="20"/>
        </w:rPr>
      </w:pPr>
    </w:p>
    <w:p w:rsidR="007B3A38" w:rsidRDefault="007B3A38">
      <w:pPr>
        <w:pStyle w:val="BodyText"/>
        <w:rPr>
          <w:sz w:val="20"/>
        </w:rPr>
      </w:pPr>
    </w:p>
    <w:p w:rsidR="007B3A38" w:rsidRDefault="007B3A38">
      <w:pPr>
        <w:pStyle w:val="BodyText"/>
        <w:rPr>
          <w:sz w:val="20"/>
        </w:rPr>
      </w:pPr>
    </w:p>
    <w:p w:rsidR="007B3A38" w:rsidRDefault="007B3A38">
      <w:pPr>
        <w:pStyle w:val="BodyText"/>
        <w:rPr>
          <w:sz w:val="20"/>
        </w:rPr>
      </w:pPr>
    </w:p>
    <w:p w:rsidR="007B3A38" w:rsidRDefault="007B3A38">
      <w:pPr>
        <w:pStyle w:val="BodyText"/>
        <w:spacing w:before="8"/>
        <w:rPr>
          <w:sz w:val="1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585"/>
        <w:gridCol w:w="5172"/>
      </w:tblGrid>
      <w:tr w:rsidR="007B3A38">
        <w:trPr>
          <w:trHeight w:val="585"/>
        </w:trPr>
        <w:tc>
          <w:tcPr>
            <w:tcW w:w="1819" w:type="dxa"/>
          </w:tcPr>
          <w:p w:rsidR="007B3A38" w:rsidRDefault="00103D78">
            <w:pPr>
              <w:pStyle w:val="TableParagraph"/>
              <w:rPr>
                <w:b/>
                <w:sz w:val="24"/>
              </w:rPr>
            </w:pPr>
            <w:bookmarkStart w:id="0" w:name="Bylaws_Approval_Page_SSW_Lecturer_Promot"/>
            <w:bookmarkEnd w:id="0"/>
            <w:r>
              <w:rPr>
                <w:b/>
                <w:color w:val="000004"/>
                <w:sz w:val="24"/>
              </w:rPr>
              <w:t>College</w:t>
            </w:r>
          </w:p>
        </w:tc>
        <w:tc>
          <w:tcPr>
            <w:tcW w:w="7757" w:type="dxa"/>
            <w:gridSpan w:val="2"/>
          </w:tcPr>
          <w:p w:rsidR="007B3A38" w:rsidRDefault="00103D78">
            <w:pPr>
              <w:pStyle w:val="TableParagraph"/>
              <w:ind w:left="105"/>
              <w:rPr>
                <w:b/>
                <w:sz w:val="24"/>
              </w:rPr>
            </w:pPr>
            <w:r>
              <w:rPr>
                <w:b/>
                <w:color w:val="000004"/>
                <w:sz w:val="24"/>
              </w:rPr>
              <w:t>Watts College of Public Service and Community Solutions</w:t>
            </w:r>
          </w:p>
        </w:tc>
      </w:tr>
      <w:tr w:rsidR="007B3A38">
        <w:trPr>
          <w:trHeight w:val="587"/>
        </w:trPr>
        <w:tc>
          <w:tcPr>
            <w:tcW w:w="1819" w:type="dxa"/>
          </w:tcPr>
          <w:p w:rsidR="007B3A38" w:rsidRDefault="00103D78">
            <w:pPr>
              <w:pStyle w:val="TableParagraph"/>
              <w:spacing w:before="1" w:line="240" w:lineRule="auto"/>
              <w:rPr>
                <w:b/>
                <w:sz w:val="24"/>
              </w:rPr>
            </w:pPr>
            <w:r>
              <w:rPr>
                <w:b/>
                <w:color w:val="000004"/>
                <w:sz w:val="24"/>
              </w:rPr>
              <w:t>Unit</w:t>
            </w:r>
          </w:p>
        </w:tc>
        <w:tc>
          <w:tcPr>
            <w:tcW w:w="7757" w:type="dxa"/>
            <w:gridSpan w:val="2"/>
          </w:tcPr>
          <w:p w:rsidR="007B3A38" w:rsidRDefault="00103D78">
            <w:pPr>
              <w:pStyle w:val="TableParagraph"/>
              <w:spacing w:line="293" w:lineRule="exact"/>
              <w:ind w:left="100"/>
              <w:rPr>
                <w:b/>
                <w:sz w:val="24"/>
              </w:rPr>
            </w:pPr>
            <w:r>
              <w:rPr>
                <w:b/>
                <w:color w:val="000004"/>
                <w:sz w:val="24"/>
              </w:rPr>
              <w:t>School of Social Work</w:t>
            </w:r>
          </w:p>
        </w:tc>
      </w:tr>
      <w:tr w:rsidR="007B3A38">
        <w:trPr>
          <w:trHeight w:val="585"/>
        </w:trPr>
        <w:tc>
          <w:tcPr>
            <w:tcW w:w="1819" w:type="dxa"/>
          </w:tcPr>
          <w:p w:rsidR="007B3A38" w:rsidRDefault="00103D78">
            <w:pPr>
              <w:pStyle w:val="TableParagraph"/>
              <w:rPr>
                <w:b/>
                <w:sz w:val="24"/>
              </w:rPr>
            </w:pPr>
            <w:r>
              <w:rPr>
                <w:b/>
                <w:color w:val="000004"/>
                <w:sz w:val="24"/>
              </w:rPr>
              <w:t>Document</w:t>
            </w:r>
          </w:p>
        </w:tc>
        <w:tc>
          <w:tcPr>
            <w:tcW w:w="7757" w:type="dxa"/>
            <w:gridSpan w:val="2"/>
          </w:tcPr>
          <w:p w:rsidR="007B3A38" w:rsidRDefault="00103D78">
            <w:pPr>
              <w:pStyle w:val="TableParagraph"/>
              <w:spacing w:before="3" w:line="240" w:lineRule="auto"/>
              <w:ind w:left="130"/>
              <w:rPr>
                <w:b/>
                <w:sz w:val="24"/>
              </w:rPr>
            </w:pPr>
            <w:r>
              <w:rPr>
                <w:b/>
                <w:color w:val="000004"/>
                <w:sz w:val="24"/>
              </w:rPr>
              <w:t>Guidelines - Promotion Criteria for Lecturers</w:t>
            </w:r>
          </w:p>
        </w:tc>
      </w:tr>
      <w:tr w:rsidR="007B3A38">
        <w:trPr>
          <w:trHeight w:val="585"/>
        </w:trPr>
        <w:tc>
          <w:tcPr>
            <w:tcW w:w="1819" w:type="dxa"/>
          </w:tcPr>
          <w:p w:rsidR="007B3A38" w:rsidRDefault="00103D78">
            <w:pPr>
              <w:pStyle w:val="TableParagraph"/>
              <w:rPr>
                <w:b/>
                <w:sz w:val="24"/>
              </w:rPr>
            </w:pPr>
            <w:r>
              <w:rPr>
                <w:b/>
                <w:color w:val="000004"/>
                <w:sz w:val="24"/>
              </w:rPr>
              <w:t>Approved by</w:t>
            </w:r>
          </w:p>
          <w:p w:rsidR="007B3A38" w:rsidRDefault="00103D78">
            <w:pPr>
              <w:pStyle w:val="TableParagraph"/>
              <w:spacing w:line="273" w:lineRule="exact"/>
              <w:rPr>
                <w:b/>
                <w:sz w:val="24"/>
              </w:rPr>
            </w:pPr>
            <w:r>
              <w:rPr>
                <w:b/>
                <w:color w:val="000004"/>
                <w:sz w:val="24"/>
              </w:rPr>
              <w:t>the faculty</w:t>
            </w:r>
          </w:p>
        </w:tc>
        <w:tc>
          <w:tcPr>
            <w:tcW w:w="2585" w:type="dxa"/>
          </w:tcPr>
          <w:p w:rsidR="00C5121D" w:rsidRDefault="00C5121D">
            <w:pPr>
              <w:pStyle w:val="TableParagraph"/>
              <w:spacing w:line="240" w:lineRule="auto"/>
              <w:ind w:left="0"/>
              <w:rPr>
                <w:rFonts w:ascii="Times New Roman"/>
                <w:sz w:val="20"/>
              </w:rPr>
            </w:pPr>
          </w:p>
          <w:p w:rsidR="007B3A38" w:rsidRPr="00C35BBC" w:rsidRDefault="007B3A38" w:rsidP="00C5121D">
            <w:pPr>
              <w:pStyle w:val="TableParagraph"/>
              <w:spacing w:line="240" w:lineRule="auto"/>
              <w:ind w:left="0"/>
              <w:jc w:val="center"/>
              <w:rPr>
                <w:rFonts w:ascii="Times New Roman"/>
                <w:sz w:val="28"/>
                <w:szCs w:val="28"/>
              </w:rPr>
            </w:pPr>
          </w:p>
        </w:tc>
        <w:tc>
          <w:tcPr>
            <w:tcW w:w="5172" w:type="dxa"/>
          </w:tcPr>
          <w:p w:rsidR="007B3A38" w:rsidRDefault="00103D78">
            <w:pPr>
              <w:pStyle w:val="TableParagraph"/>
              <w:ind w:left="0" w:right="1364"/>
              <w:jc w:val="right"/>
              <w:rPr>
                <w:b/>
                <w:sz w:val="24"/>
              </w:rPr>
            </w:pPr>
            <w:r>
              <w:rPr>
                <w:b/>
                <w:color w:val="000004"/>
                <w:sz w:val="24"/>
              </w:rPr>
              <w:t xml:space="preserve">Date: </w:t>
            </w:r>
            <w:r w:rsidRPr="00C35BBC">
              <w:rPr>
                <w:color w:val="000004"/>
                <w:sz w:val="24"/>
              </w:rPr>
              <w:t>May 7, 2019</w:t>
            </w:r>
          </w:p>
        </w:tc>
      </w:tr>
      <w:tr w:rsidR="007B3A38">
        <w:trPr>
          <w:trHeight w:val="587"/>
        </w:trPr>
        <w:tc>
          <w:tcPr>
            <w:tcW w:w="1819" w:type="dxa"/>
          </w:tcPr>
          <w:p w:rsidR="007B3A38" w:rsidRDefault="00103D78">
            <w:pPr>
              <w:pStyle w:val="TableParagraph"/>
              <w:spacing w:before="1" w:line="290" w:lineRule="atLeast"/>
              <w:ind w:right="407"/>
              <w:rPr>
                <w:b/>
                <w:sz w:val="24"/>
              </w:rPr>
            </w:pPr>
            <w:r>
              <w:rPr>
                <w:b/>
                <w:color w:val="000004"/>
                <w:sz w:val="24"/>
              </w:rPr>
              <w:t>Reviewed by the dean</w:t>
            </w:r>
          </w:p>
        </w:tc>
        <w:tc>
          <w:tcPr>
            <w:tcW w:w="2585" w:type="dxa"/>
          </w:tcPr>
          <w:p w:rsidR="007B3A38" w:rsidRDefault="007B3A38">
            <w:pPr>
              <w:pStyle w:val="TableParagraph"/>
              <w:spacing w:line="240" w:lineRule="auto"/>
              <w:ind w:left="0"/>
              <w:rPr>
                <w:rFonts w:ascii="Times New Roman"/>
                <w:sz w:val="20"/>
              </w:rPr>
            </w:pPr>
          </w:p>
        </w:tc>
        <w:tc>
          <w:tcPr>
            <w:tcW w:w="5172" w:type="dxa"/>
          </w:tcPr>
          <w:p w:rsidR="007B3A38" w:rsidRDefault="00103D78">
            <w:pPr>
              <w:pStyle w:val="TableParagraph"/>
              <w:spacing w:line="342" w:lineRule="exact"/>
              <w:ind w:left="0" w:right="1298"/>
              <w:jc w:val="right"/>
              <w:rPr>
                <w:sz w:val="24"/>
              </w:rPr>
            </w:pPr>
            <w:r>
              <w:rPr>
                <w:b/>
                <w:color w:val="000004"/>
                <w:position w:val="5"/>
                <w:sz w:val="24"/>
              </w:rPr>
              <w:t xml:space="preserve">Date: </w:t>
            </w:r>
            <w:r>
              <w:rPr>
                <w:color w:val="000004"/>
                <w:sz w:val="24"/>
              </w:rPr>
              <w:t>May 21, 2019</w:t>
            </w:r>
          </w:p>
        </w:tc>
      </w:tr>
    </w:tbl>
    <w:p w:rsidR="007B3A38" w:rsidRDefault="007B3A38">
      <w:pPr>
        <w:pStyle w:val="BodyText"/>
        <w:rPr>
          <w:sz w:val="20"/>
        </w:rPr>
      </w:pPr>
    </w:p>
    <w:p w:rsidR="007B3A38" w:rsidRDefault="005226EF">
      <w:pPr>
        <w:pStyle w:val="BodyText"/>
        <w:rPr>
          <w:sz w:val="20"/>
        </w:rPr>
      </w:pPr>
      <w:r>
        <w:rPr>
          <w:sz w:val="20"/>
        </w:rPr>
        <w:t xml:space="preserve">              </w:t>
      </w:r>
      <w:bookmarkStart w:id="1" w:name="_GoBack"/>
      <w:bookmarkEnd w:id="1"/>
      <w:r>
        <w:rPr>
          <w:sz w:val="20"/>
        </w:rPr>
        <w:t>Sent to Provost office for review 8/29/2019</w:t>
      </w:r>
    </w:p>
    <w:p w:rsidR="007B3A38" w:rsidRDefault="007B3A38">
      <w:pPr>
        <w:pStyle w:val="BodyText"/>
        <w:rPr>
          <w:sz w:val="27"/>
        </w:rPr>
      </w:pPr>
    </w:p>
    <w:p w:rsidR="007B3A38" w:rsidRDefault="00103D78">
      <w:pPr>
        <w:spacing w:before="57" w:after="3"/>
        <w:ind w:left="640"/>
        <w:rPr>
          <w:rFonts w:ascii="Calibri"/>
          <w:b/>
        </w:rPr>
      </w:pPr>
      <w:r>
        <w:rPr>
          <w:rFonts w:ascii="Calibri"/>
          <w:b/>
          <w:color w:val="000004"/>
        </w:rPr>
        <w:t>Provost office approval</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8"/>
        <w:gridCol w:w="1548"/>
      </w:tblGrid>
      <w:tr w:rsidR="007B3A38">
        <w:trPr>
          <w:trHeight w:val="381"/>
        </w:trPr>
        <w:tc>
          <w:tcPr>
            <w:tcW w:w="8028" w:type="dxa"/>
          </w:tcPr>
          <w:p w:rsidR="007B3A38" w:rsidRDefault="007B3A38">
            <w:pPr>
              <w:pStyle w:val="TableParagraph"/>
              <w:spacing w:line="240" w:lineRule="auto"/>
              <w:ind w:left="0"/>
              <w:rPr>
                <w:rFonts w:ascii="Times New Roman"/>
                <w:sz w:val="20"/>
              </w:rPr>
            </w:pPr>
          </w:p>
        </w:tc>
        <w:tc>
          <w:tcPr>
            <w:tcW w:w="1548" w:type="dxa"/>
          </w:tcPr>
          <w:p w:rsidR="007B3A38" w:rsidRDefault="007B3A38">
            <w:pPr>
              <w:pStyle w:val="TableParagraph"/>
              <w:spacing w:line="240" w:lineRule="auto"/>
              <w:ind w:left="0"/>
              <w:rPr>
                <w:rFonts w:ascii="Times New Roman"/>
                <w:sz w:val="20"/>
              </w:rPr>
            </w:pPr>
          </w:p>
        </w:tc>
      </w:tr>
      <w:tr w:rsidR="007B3A38">
        <w:trPr>
          <w:trHeight w:val="381"/>
        </w:trPr>
        <w:tc>
          <w:tcPr>
            <w:tcW w:w="8028" w:type="dxa"/>
          </w:tcPr>
          <w:p w:rsidR="007B3A38" w:rsidRDefault="00103D78">
            <w:pPr>
              <w:pStyle w:val="TableParagraph"/>
              <w:rPr>
                <w:b/>
                <w:sz w:val="24"/>
              </w:rPr>
            </w:pPr>
            <w:r>
              <w:rPr>
                <w:b/>
                <w:color w:val="000004"/>
                <w:sz w:val="24"/>
              </w:rPr>
              <w:t>Deborah Clarke, Vice Provost for Academic Personnel</w:t>
            </w:r>
          </w:p>
        </w:tc>
        <w:tc>
          <w:tcPr>
            <w:tcW w:w="1548" w:type="dxa"/>
          </w:tcPr>
          <w:p w:rsidR="007B3A38" w:rsidRDefault="00103D78">
            <w:pPr>
              <w:pStyle w:val="TableParagraph"/>
              <w:rPr>
                <w:b/>
                <w:sz w:val="24"/>
              </w:rPr>
            </w:pPr>
            <w:r>
              <w:rPr>
                <w:b/>
                <w:color w:val="000004"/>
                <w:sz w:val="24"/>
              </w:rPr>
              <w:t>Date</w:t>
            </w:r>
          </w:p>
        </w:tc>
      </w:tr>
    </w:tbl>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rPr>
          <w:rFonts w:ascii="Calibri"/>
          <w:b/>
          <w:sz w:val="22"/>
        </w:rPr>
      </w:pPr>
    </w:p>
    <w:p w:rsidR="007B3A38" w:rsidRDefault="007B3A38">
      <w:pPr>
        <w:pStyle w:val="BodyText"/>
        <w:spacing w:before="9"/>
        <w:rPr>
          <w:rFonts w:ascii="Calibri"/>
          <w:b/>
          <w:sz w:val="32"/>
        </w:rPr>
      </w:pPr>
    </w:p>
    <w:p w:rsidR="007B3A38" w:rsidRDefault="00103D78">
      <w:pPr>
        <w:ind w:left="4005" w:right="3748"/>
        <w:jc w:val="center"/>
        <w:rPr>
          <w:rFonts w:ascii="Arial"/>
          <w:b/>
          <w:sz w:val="16"/>
        </w:rPr>
      </w:pPr>
      <w:r>
        <w:rPr>
          <w:rFonts w:ascii="Arial"/>
          <w:b/>
          <w:color w:val="990000"/>
          <w:sz w:val="16"/>
        </w:rPr>
        <w:t>Office of the University Provost</w:t>
      </w:r>
    </w:p>
    <w:p w:rsidR="007B3A38" w:rsidRDefault="007B3A38">
      <w:pPr>
        <w:pStyle w:val="BodyText"/>
        <w:spacing w:before="2"/>
        <w:rPr>
          <w:rFonts w:ascii="Arial"/>
          <w:b/>
          <w:sz w:val="14"/>
        </w:rPr>
      </w:pPr>
    </w:p>
    <w:p w:rsidR="007B3A38" w:rsidRDefault="00103D78">
      <w:pPr>
        <w:spacing w:before="1" w:line="161" w:lineRule="exact"/>
        <w:ind w:left="4005" w:right="3750"/>
        <w:jc w:val="center"/>
        <w:rPr>
          <w:rFonts w:ascii="Arial"/>
          <w:sz w:val="14"/>
        </w:rPr>
      </w:pPr>
      <w:r>
        <w:rPr>
          <w:rFonts w:ascii="Arial"/>
          <w:color w:val="990000"/>
          <w:sz w:val="14"/>
        </w:rPr>
        <w:t>300 East University Drive</w:t>
      </w:r>
    </w:p>
    <w:p w:rsidR="007B3A38" w:rsidRDefault="00103D78">
      <w:pPr>
        <w:ind w:left="4005" w:right="3750"/>
        <w:jc w:val="center"/>
        <w:rPr>
          <w:rFonts w:ascii="Arial"/>
          <w:sz w:val="14"/>
        </w:rPr>
      </w:pPr>
      <w:r>
        <w:rPr>
          <w:rFonts w:ascii="Arial"/>
          <w:color w:val="990000"/>
          <w:sz w:val="14"/>
        </w:rPr>
        <w:t>P.O. Box 877805 Tempe, AZ 85287-7805</w:t>
      </w:r>
    </w:p>
    <w:p w:rsidR="007B3A38" w:rsidRDefault="00103D78">
      <w:pPr>
        <w:spacing w:before="2" w:line="161" w:lineRule="exact"/>
        <w:ind w:left="4005" w:right="3745"/>
        <w:jc w:val="center"/>
        <w:rPr>
          <w:rFonts w:ascii="Arial"/>
          <w:sz w:val="14"/>
        </w:rPr>
      </w:pPr>
      <w:r>
        <w:rPr>
          <w:rFonts w:ascii="Arial"/>
          <w:color w:val="990000"/>
          <w:sz w:val="14"/>
        </w:rPr>
        <w:t xml:space="preserve">(480) 965-4995 Fax: (480) </w:t>
      </w:r>
      <w:r>
        <w:rPr>
          <w:rFonts w:ascii="Arial"/>
          <w:color w:val="990000"/>
          <w:sz w:val="14"/>
        </w:rPr>
        <w:lastRenderedPageBreak/>
        <w:t>965-0785</w:t>
      </w:r>
    </w:p>
    <w:p w:rsidR="007B3A38" w:rsidRDefault="00103D78">
      <w:pPr>
        <w:ind w:left="4005" w:right="3748"/>
        <w:jc w:val="center"/>
        <w:rPr>
          <w:rFonts w:ascii="Arial"/>
          <w:sz w:val="14"/>
        </w:rPr>
      </w:pPr>
      <w:r>
        <w:rPr>
          <w:rFonts w:ascii="Arial"/>
          <w:color w:val="990000"/>
          <w:sz w:val="14"/>
        </w:rPr>
        <w:t>https://provost.asu.edu/</w:t>
      </w:r>
    </w:p>
    <w:p w:rsidR="007B3A38" w:rsidRDefault="007B3A38">
      <w:pPr>
        <w:pStyle w:val="BodyText"/>
        <w:spacing w:before="4"/>
        <w:rPr>
          <w:rFonts w:ascii="Arial"/>
          <w:sz w:val="23"/>
        </w:rPr>
      </w:pPr>
    </w:p>
    <w:p w:rsidR="007B3A38" w:rsidRDefault="00103D78">
      <w:pPr>
        <w:ind w:right="375"/>
        <w:jc w:val="right"/>
        <w:rPr>
          <w:rFonts w:ascii="Calibri"/>
          <w:sz w:val="16"/>
        </w:rPr>
      </w:pPr>
      <w:r>
        <w:rPr>
          <w:rFonts w:ascii="Calibri"/>
          <w:sz w:val="16"/>
        </w:rPr>
        <w:t>5-7-15</w:t>
      </w:r>
    </w:p>
    <w:p w:rsidR="007B3A38" w:rsidRDefault="007B3A38">
      <w:pPr>
        <w:jc w:val="right"/>
        <w:rPr>
          <w:rFonts w:ascii="Calibri"/>
          <w:sz w:val="16"/>
        </w:rPr>
        <w:sectPr w:rsidR="007B3A38">
          <w:type w:val="continuous"/>
          <w:pgSz w:w="12240" w:h="15840"/>
          <w:pgMar w:top="720" w:right="1060" w:bottom="280" w:left="800" w:header="720" w:footer="720" w:gutter="0"/>
          <w:cols w:space="720"/>
        </w:sectPr>
      </w:pPr>
    </w:p>
    <w:p w:rsidR="007B3A38" w:rsidRDefault="00103D78">
      <w:pPr>
        <w:pStyle w:val="BodyText"/>
        <w:ind w:left="115"/>
        <w:rPr>
          <w:rFonts w:ascii="Calibri"/>
          <w:sz w:val="20"/>
        </w:rPr>
      </w:pPr>
      <w:r>
        <w:rPr>
          <w:rFonts w:ascii="Calibri"/>
          <w:noProof/>
          <w:sz w:val="20"/>
        </w:rPr>
        <w:lastRenderedPageBreak/>
        <w:drawing>
          <wp:inline distT="0" distB="0" distL="0" distR="0">
            <wp:extent cx="2914702" cy="10378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14702" cy="1037844"/>
                    </a:xfrm>
                    <a:prstGeom prst="rect">
                      <a:avLst/>
                    </a:prstGeom>
                  </pic:spPr>
                </pic:pic>
              </a:graphicData>
            </a:graphic>
          </wp:inline>
        </w:drawing>
      </w:r>
    </w:p>
    <w:p w:rsidR="007B3A38" w:rsidRDefault="007B3A38">
      <w:pPr>
        <w:pStyle w:val="BodyText"/>
        <w:spacing w:before="11"/>
        <w:rPr>
          <w:rFonts w:ascii="Calibri"/>
          <w:sz w:val="12"/>
        </w:rPr>
      </w:pPr>
    </w:p>
    <w:p w:rsidR="007B3A38" w:rsidRDefault="00103D78">
      <w:pPr>
        <w:pStyle w:val="Heading1"/>
        <w:spacing w:before="90" w:line="274" w:lineRule="exact"/>
        <w:rPr>
          <w:u w:val="none"/>
        </w:rPr>
      </w:pPr>
      <w:bookmarkStart w:id="2" w:name="SSW_Promotion_Criteria_Lecturer_Approved"/>
      <w:bookmarkStart w:id="3" w:name="Promotion_Criteria_for_Lecturers,_Senior"/>
      <w:bookmarkEnd w:id="2"/>
      <w:bookmarkEnd w:id="3"/>
      <w:r>
        <w:rPr>
          <w:u w:val="thick"/>
        </w:rPr>
        <w:t>Promotion Criteria for Lecturers, Senior Lecturers and Principal Lecturer</w:t>
      </w:r>
    </w:p>
    <w:p w:rsidR="007B3A38" w:rsidRDefault="00103D78">
      <w:pPr>
        <w:spacing w:line="228" w:lineRule="exact"/>
        <w:ind w:left="460"/>
        <w:rPr>
          <w:i/>
          <w:sz w:val="20"/>
        </w:rPr>
      </w:pPr>
      <w:r>
        <w:rPr>
          <w:i/>
          <w:sz w:val="20"/>
        </w:rPr>
        <w:t>Criteria approved by faculty May 7, 2019 at Faculty Council Meeting</w:t>
      </w:r>
    </w:p>
    <w:p w:rsidR="007B3A38" w:rsidRDefault="007B3A38">
      <w:pPr>
        <w:pStyle w:val="BodyText"/>
        <w:spacing w:before="3"/>
        <w:rPr>
          <w:i/>
          <w:sz w:val="18"/>
        </w:rPr>
      </w:pPr>
    </w:p>
    <w:p w:rsidR="007B3A38" w:rsidRDefault="00103D78">
      <w:pPr>
        <w:pStyle w:val="BodyText"/>
        <w:spacing w:before="1"/>
        <w:ind w:left="460" w:right="120"/>
      </w:pPr>
      <w:r>
        <w:t>The School of Social Work recognizes the pedagogical and teaching contributions of non-tenured track faculty. These individuals are part of ASU's continuing effort to provide students with an outstanding academic experience that supports professional development and excellence in earning a Master's degree in Social Work. This document outlines performance expectations for promotion of Lecturer to the position of Senior Lecturer and Senior Lecturer to the position of Principal Lecturer in School of Social Work, Watts College of Public Service and Community Solutions. Persons appointed as Lecturers are fixed-term faculty members with responsibilities that may include teaching service responsibilities, supervising supplemental student learning, and services such as acting as Field Liaison, professional development, and/or administrative duties related to teaching while also being active members on department and College committees. Lecturers serve essential functions as part of our faculty, per university policy, they are not eligible for tenure or sabbatical</w:t>
      </w:r>
      <w:r>
        <w:rPr>
          <w:spacing w:val="-28"/>
        </w:rPr>
        <w:t xml:space="preserve"> </w:t>
      </w:r>
      <w:r>
        <w:t>leaves.</w:t>
      </w:r>
    </w:p>
    <w:p w:rsidR="007B3A38" w:rsidRDefault="007B3A38">
      <w:pPr>
        <w:pStyle w:val="BodyText"/>
        <w:rPr>
          <w:sz w:val="26"/>
        </w:rPr>
      </w:pPr>
    </w:p>
    <w:p w:rsidR="007B3A38" w:rsidRDefault="007B3A38">
      <w:pPr>
        <w:pStyle w:val="BodyText"/>
        <w:rPr>
          <w:sz w:val="26"/>
        </w:rPr>
      </w:pPr>
    </w:p>
    <w:p w:rsidR="007B3A38" w:rsidRDefault="00103D78">
      <w:pPr>
        <w:pStyle w:val="Heading1"/>
        <w:spacing w:before="156"/>
        <w:rPr>
          <w:u w:val="none"/>
        </w:rPr>
      </w:pPr>
      <w:bookmarkStart w:id="4" w:name="General_Eligibility_Criteria:"/>
      <w:bookmarkEnd w:id="4"/>
      <w:r>
        <w:rPr>
          <w:u w:val="thick"/>
        </w:rPr>
        <w:t>General Eligibility Criteria:</w:t>
      </w:r>
    </w:p>
    <w:p w:rsidR="007B3A38" w:rsidRDefault="007B3A38">
      <w:pPr>
        <w:pStyle w:val="BodyText"/>
        <w:spacing w:before="4"/>
        <w:rPr>
          <w:b/>
          <w:sz w:val="16"/>
        </w:rPr>
      </w:pPr>
    </w:p>
    <w:p w:rsidR="007B3A38" w:rsidRDefault="00103D78">
      <w:pPr>
        <w:pStyle w:val="BodyText"/>
        <w:spacing w:before="90"/>
        <w:ind w:left="460"/>
      </w:pPr>
      <w:r>
        <w:t>At all levels, eligibility for promotion requires:</w:t>
      </w:r>
    </w:p>
    <w:p w:rsidR="007B3A38" w:rsidRDefault="00103D78">
      <w:pPr>
        <w:pStyle w:val="ListParagraph"/>
        <w:numPr>
          <w:ilvl w:val="0"/>
          <w:numId w:val="4"/>
        </w:numPr>
        <w:tabs>
          <w:tab w:val="left" w:pos="1180"/>
        </w:tabs>
        <w:spacing w:before="182"/>
        <w:ind w:right="263"/>
        <w:rPr>
          <w:sz w:val="24"/>
        </w:rPr>
      </w:pPr>
      <w:r>
        <w:rPr>
          <w:sz w:val="24"/>
        </w:rPr>
        <w:lastRenderedPageBreak/>
        <w:t>An MSW or terminal degree from a related field (Ph.D.) OR a master’s degree from a</w:t>
      </w:r>
      <w:r>
        <w:rPr>
          <w:spacing w:val="-45"/>
          <w:sz w:val="24"/>
        </w:rPr>
        <w:t xml:space="preserve"> </w:t>
      </w:r>
      <w:r>
        <w:rPr>
          <w:sz w:val="24"/>
        </w:rPr>
        <w:t>related field + at least 6 years of related experience (teaching and/or practitioner experience) demonstrating increasing levels of</w:t>
      </w:r>
      <w:r>
        <w:rPr>
          <w:spacing w:val="-8"/>
          <w:sz w:val="24"/>
        </w:rPr>
        <w:t xml:space="preserve"> </w:t>
      </w:r>
      <w:r>
        <w:rPr>
          <w:sz w:val="24"/>
        </w:rPr>
        <w:t>responsibility.</w:t>
      </w:r>
    </w:p>
    <w:p w:rsidR="007B3A38" w:rsidRDefault="007B3A38">
      <w:pPr>
        <w:pStyle w:val="BodyText"/>
      </w:pPr>
    </w:p>
    <w:p w:rsidR="007B3A38" w:rsidRDefault="00103D78">
      <w:pPr>
        <w:pStyle w:val="ListParagraph"/>
        <w:numPr>
          <w:ilvl w:val="0"/>
          <w:numId w:val="4"/>
        </w:numPr>
        <w:tabs>
          <w:tab w:val="left" w:pos="1180"/>
        </w:tabs>
        <w:spacing w:before="1"/>
        <w:ind w:right="730"/>
        <w:rPr>
          <w:sz w:val="24"/>
        </w:rPr>
      </w:pPr>
      <w:r>
        <w:rPr>
          <w:sz w:val="24"/>
        </w:rPr>
        <w:t>Continuous record of excellence in teaching, service and leadership evidenced by</w:t>
      </w:r>
      <w:r>
        <w:rPr>
          <w:spacing w:val="-26"/>
          <w:sz w:val="24"/>
        </w:rPr>
        <w:t xml:space="preserve"> </w:t>
      </w:r>
      <w:r>
        <w:rPr>
          <w:sz w:val="24"/>
        </w:rPr>
        <w:t>strong student</w:t>
      </w:r>
      <w:r>
        <w:rPr>
          <w:spacing w:val="-1"/>
          <w:sz w:val="24"/>
        </w:rPr>
        <w:t xml:space="preserve"> </w:t>
      </w:r>
      <w:r>
        <w:rPr>
          <w:sz w:val="24"/>
        </w:rPr>
        <w:t>evaluations,</w:t>
      </w:r>
    </w:p>
    <w:p w:rsidR="007B3A38" w:rsidRDefault="007B3A38">
      <w:pPr>
        <w:pStyle w:val="BodyText"/>
        <w:spacing w:before="11"/>
        <w:rPr>
          <w:sz w:val="23"/>
        </w:rPr>
      </w:pPr>
    </w:p>
    <w:p w:rsidR="007B3A38" w:rsidRDefault="00103D78">
      <w:pPr>
        <w:pStyle w:val="ListParagraph"/>
        <w:numPr>
          <w:ilvl w:val="0"/>
          <w:numId w:val="4"/>
        </w:numPr>
        <w:tabs>
          <w:tab w:val="left" w:pos="1180"/>
        </w:tabs>
        <w:rPr>
          <w:sz w:val="24"/>
        </w:rPr>
      </w:pPr>
      <w:r>
        <w:rPr>
          <w:sz w:val="24"/>
        </w:rPr>
        <w:t>Evidence of coursework development or improvement,</w:t>
      </w:r>
    </w:p>
    <w:p w:rsidR="007B3A38" w:rsidRDefault="007B3A38">
      <w:pPr>
        <w:pStyle w:val="BodyText"/>
      </w:pPr>
    </w:p>
    <w:p w:rsidR="007B3A38" w:rsidRDefault="00103D78">
      <w:pPr>
        <w:pStyle w:val="ListParagraph"/>
        <w:numPr>
          <w:ilvl w:val="0"/>
          <w:numId w:val="4"/>
        </w:numPr>
        <w:tabs>
          <w:tab w:val="left" w:pos="1180"/>
        </w:tabs>
        <w:ind w:right="380"/>
        <w:rPr>
          <w:sz w:val="24"/>
        </w:rPr>
      </w:pPr>
      <w:r>
        <w:rPr>
          <w:sz w:val="24"/>
        </w:rPr>
        <w:t>Evidence of service, which may include but are not limited to field, department and college committees, administrative duties, professional development (e.g. pedagogical workshops, trainings), evidence of commitment to student success through active mentorship and innovative learning experiences that prioritize access, inclusion, diversity, student</w:t>
      </w:r>
      <w:r>
        <w:rPr>
          <w:spacing w:val="-33"/>
          <w:sz w:val="24"/>
        </w:rPr>
        <w:t xml:space="preserve"> </w:t>
      </w:r>
      <w:r>
        <w:rPr>
          <w:sz w:val="24"/>
        </w:rPr>
        <w:t>retention, community engagement and</w:t>
      </w:r>
      <w:r>
        <w:rPr>
          <w:spacing w:val="-9"/>
          <w:sz w:val="24"/>
        </w:rPr>
        <w:t xml:space="preserve"> </w:t>
      </w:r>
      <w:r>
        <w:rPr>
          <w:sz w:val="24"/>
        </w:rPr>
        <w:t>excellence.</w:t>
      </w:r>
    </w:p>
    <w:p w:rsidR="007B3A38" w:rsidRDefault="007B3A38">
      <w:pPr>
        <w:rPr>
          <w:sz w:val="24"/>
        </w:rPr>
        <w:sectPr w:rsidR="007B3A38">
          <w:footerReference w:type="default" r:id="rId9"/>
          <w:pgSz w:w="12240" w:h="15840"/>
          <w:pgMar w:top="720" w:right="1060" w:bottom="1180" w:left="800" w:header="0" w:footer="998" w:gutter="0"/>
          <w:pgNumType w:start="1"/>
          <w:cols w:space="720"/>
        </w:sectPr>
      </w:pPr>
    </w:p>
    <w:p w:rsidR="007B3A38" w:rsidRDefault="00103D78">
      <w:pPr>
        <w:pStyle w:val="BodyText"/>
        <w:ind w:left="115"/>
        <w:rPr>
          <w:sz w:val="20"/>
        </w:rPr>
      </w:pPr>
      <w:r>
        <w:rPr>
          <w:noProof/>
          <w:sz w:val="20"/>
        </w:rPr>
        <w:lastRenderedPageBreak/>
        <w:drawing>
          <wp:inline distT="0" distB="0" distL="0" distR="0">
            <wp:extent cx="2914702" cy="1037844"/>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914702" cy="1037844"/>
                    </a:xfrm>
                    <a:prstGeom prst="rect">
                      <a:avLst/>
                    </a:prstGeom>
                  </pic:spPr>
                </pic:pic>
              </a:graphicData>
            </a:graphic>
          </wp:inline>
        </w:drawing>
      </w:r>
    </w:p>
    <w:p w:rsidR="007B3A38" w:rsidRDefault="007B3A38">
      <w:pPr>
        <w:pStyle w:val="BodyText"/>
        <w:rPr>
          <w:sz w:val="20"/>
        </w:rPr>
      </w:pPr>
    </w:p>
    <w:p w:rsidR="007B3A38" w:rsidRDefault="007B3A38">
      <w:pPr>
        <w:pStyle w:val="BodyText"/>
        <w:spacing w:before="9"/>
        <w:rPr>
          <w:sz w:val="21"/>
        </w:rPr>
      </w:pPr>
    </w:p>
    <w:p w:rsidR="007B3A38" w:rsidRDefault="00103D78">
      <w:pPr>
        <w:pStyle w:val="Heading1"/>
        <w:rPr>
          <w:u w:val="none"/>
        </w:rPr>
      </w:pPr>
      <w:bookmarkStart w:id="5" w:name="Lecturer_(Initial_Appointment)"/>
      <w:bookmarkEnd w:id="5"/>
      <w:r>
        <w:rPr>
          <w:u w:val="thick"/>
        </w:rPr>
        <w:t>Lecturer (Initial Appointment)</w:t>
      </w:r>
    </w:p>
    <w:p w:rsidR="007B3A38" w:rsidRDefault="00103D78">
      <w:pPr>
        <w:spacing w:before="174" w:line="254" w:lineRule="auto"/>
        <w:ind w:left="460" w:right="240"/>
        <w:rPr>
          <w:i/>
          <w:sz w:val="20"/>
        </w:rPr>
      </w:pPr>
      <w:r>
        <w:rPr>
          <w:i/>
          <w:sz w:val="20"/>
        </w:rPr>
        <w:t>According to ASU faculty definitions: Lecturer Faculty Appointments are "non-tenured, non-tenure-eligible faculty members who are qualified by training experience or education to direct or participate in university functions, including student internships, training, or practice components of degree programs."</w:t>
      </w:r>
    </w:p>
    <w:p w:rsidR="007B3A38" w:rsidRDefault="00103D78">
      <w:pPr>
        <w:pStyle w:val="BodyText"/>
        <w:spacing w:before="170" w:line="259" w:lineRule="auto"/>
        <w:ind w:left="460" w:right="309"/>
      </w:pPr>
      <w:r>
        <w:t>In the School of Social Work, appointment to the rank of Lecturer requires an MSW (or appropriate terminal degree). Such individuals will have a record demonstrating success in teaching and evidence of service to the school, university and/or community. The expectation of a Lecturer is to demonstrate professional growth and development with continuous improvement evidenced by increased refinement of teaching skills and classroom management.</w:t>
      </w:r>
    </w:p>
    <w:p w:rsidR="007B3A38" w:rsidRDefault="00103D78">
      <w:pPr>
        <w:pStyle w:val="BodyText"/>
        <w:spacing w:line="259" w:lineRule="auto"/>
        <w:ind w:left="459" w:right="197"/>
      </w:pPr>
      <w:r>
        <w:t>Lecturers are expected to serve as voting members on academic committees and contribute continuous learning and improvement activities to both students and faculty while acting on those committees. Lecturers will be expected to engage students in course material and demonstrate efforts at promoting student success and retention.</w:t>
      </w:r>
    </w:p>
    <w:p w:rsidR="007B3A38" w:rsidRDefault="007B3A38">
      <w:pPr>
        <w:pStyle w:val="BodyText"/>
        <w:rPr>
          <w:sz w:val="26"/>
        </w:rPr>
      </w:pPr>
    </w:p>
    <w:p w:rsidR="007B3A38" w:rsidRDefault="00103D78">
      <w:pPr>
        <w:pStyle w:val="Heading1"/>
        <w:spacing w:before="223"/>
        <w:rPr>
          <w:u w:val="none"/>
        </w:rPr>
      </w:pPr>
      <w:bookmarkStart w:id="6" w:name="Promotion_from_Lecturer_to_Senior_Lectur"/>
      <w:bookmarkEnd w:id="6"/>
      <w:r>
        <w:rPr>
          <w:u w:val="thick"/>
        </w:rPr>
        <w:t>Promotion from Lecturer to Senior Lecturer</w:t>
      </w:r>
    </w:p>
    <w:p w:rsidR="007B3A38" w:rsidRDefault="00103D78">
      <w:pPr>
        <w:pStyle w:val="ListParagraph"/>
        <w:numPr>
          <w:ilvl w:val="0"/>
          <w:numId w:val="3"/>
        </w:numPr>
        <w:tabs>
          <w:tab w:val="left" w:pos="1180"/>
        </w:tabs>
        <w:spacing w:before="172"/>
        <w:ind w:right="235"/>
        <w:rPr>
          <w:sz w:val="24"/>
        </w:rPr>
      </w:pPr>
      <w:r>
        <w:rPr>
          <w:sz w:val="24"/>
        </w:rPr>
        <w:lastRenderedPageBreak/>
        <w:t>An individual seeking to apply for promotion from Lecturer to Senior Lecturer must be in</w:t>
      </w:r>
      <w:r>
        <w:rPr>
          <w:spacing w:val="-36"/>
          <w:sz w:val="24"/>
        </w:rPr>
        <w:t xml:space="preserve"> </w:t>
      </w:r>
      <w:r>
        <w:rPr>
          <w:sz w:val="24"/>
        </w:rPr>
        <w:t>the position for a minimum of five years at</w:t>
      </w:r>
      <w:r>
        <w:rPr>
          <w:spacing w:val="-2"/>
          <w:sz w:val="24"/>
        </w:rPr>
        <w:t xml:space="preserve"> </w:t>
      </w:r>
      <w:r>
        <w:rPr>
          <w:sz w:val="24"/>
        </w:rPr>
        <w:t>ASU.</w:t>
      </w:r>
    </w:p>
    <w:p w:rsidR="007B3A38" w:rsidRDefault="007B3A38">
      <w:pPr>
        <w:pStyle w:val="BodyText"/>
      </w:pPr>
    </w:p>
    <w:p w:rsidR="007B3A38" w:rsidRDefault="00103D78">
      <w:pPr>
        <w:pStyle w:val="ListParagraph"/>
        <w:numPr>
          <w:ilvl w:val="0"/>
          <w:numId w:val="3"/>
        </w:numPr>
        <w:tabs>
          <w:tab w:val="left" w:pos="1180"/>
        </w:tabs>
        <w:ind w:right="307"/>
        <w:rPr>
          <w:sz w:val="24"/>
        </w:rPr>
      </w:pPr>
      <w:r>
        <w:rPr>
          <w:sz w:val="24"/>
        </w:rPr>
        <w:t>Senior Lecturers demonstrate consistent and ongoing excellence in teaching as observed in a review of a series of indicators including but not limited to (a) student teaching</w:t>
      </w:r>
      <w:r>
        <w:rPr>
          <w:spacing w:val="-20"/>
          <w:sz w:val="24"/>
        </w:rPr>
        <w:t xml:space="preserve"> </w:t>
      </w:r>
      <w:r>
        <w:rPr>
          <w:sz w:val="24"/>
        </w:rPr>
        <w:t>evaluations,</w:t>
      </w:r>
    </w:p>
    <w:p w:rsidR="007B3A38" w:rsidRDefault="00103D78">
      <w:pPr>
        <w:pStyle w:val="BodyText"/>
        <w:spacing w:before="1"/>
        <w:ind w:left="1180" w:right="1010"/>
      </w:pPr>
      <w:r>
        <w:t>(b) peer teaching evaluations, and (c) course syllabi and other material created by the applicant.</w:t>
      </w:r>
    </w:p>
    <w:p w:rsidR="007B3A38" w:rsidRDefault="007B3A38">
      <w:pPr>
        <w:pStyle w:val="BodyText"/>
        <w:spacing w:before="11"/>
        <w:rPr>
          <w:sz w:val="23"/>
        </w:rPr>
      </w:pPr>
    </w:p>
    <w:p w:rsidR="007B3A38" w:rsidRDefault="00103D78">
      <w:pPr>
        <w:pStyle w:val="ListParagraph"/>
        <w:numPr>
          <w:ilvl w:val="0"/>
          <w:numId w:val="3"/>
        </w:numPr>
        <w:tabs>
          <w:tab w:val="left" w:pos="1180"/>
        </w:tabs>
        <w:ind w:right="120"/>
        <w:rPr>
          <w:sz w:val="24"/>
        </w:rPr>
      </w:pPr>
      <w:r>
        <w:rPr>
          <w:sz w:val="24"/>
        </w:rPr>
        <w:t>Senior Lecturers continue their responsibilities as outlined in their job description and employment contract of teaching and service responsibilities but in addition demonstrate significant intellectual contributions and expertise in subject matter that goes beyond teaching. For example, perform Lead duties on a</w:t>
      </w:r>
      <w:r>
        <w:rPr>
          <w:spacing w:val="-2"/>
          <w:sz w:val="24"/>
        </w:rPr>
        <w:t xml:space="preserve"> </w:t>
      </w:r>
      <w:r>
        <w:rPr>
          <w:sz w:val="24"/>
        </w:rPr>
        <w:t>course(s).</w:t>
      </w:r>
    </w:p>
    <w:p w:rsidR="007B3A38" w:rsidRDefault="007B3A38">
      <w:pPr>
        <w:pStyle w:val="BodyText"/>
      </w:pPr>
    </w:p>
    <w:p w:rsidR="007B3A38" w:rsidRDefault="00103D78">
      <w:pPr>
        <w:pStyle w:val="ListParagraph"/>
        <w:numPr>
          <w:ilvl w:val="0"/>
          <w:numId w:val="3"/>
        </w:numPr>
        <w:tabs>
          <w:tab w:val="left" w:pos="1180"/>
        </w:tabs>
        <w:ind w:right="114"/>
        <w:jc w:val="both"/>
        <w:rPr>
          <w:sz w:val="24"/>
        </w:rPr>
      </w:pPr>
      <w:r>
        <w:rPr>
          <w:sz w:val="24"/>
        </w:rPr>
        <w:t>Senior Lecturers will continue to have responsibilities for teaching core courses and serving as voting</w:t>
      </w:r>
      <w:r>
        <w:rPr>
          <w:spacing w:val="-9"/>
          <w:sz w:val="24"/>
        </w:rPr>
        <w:t xml:space="preserve"> </w:t>
      </w:r>
      <w:r>
        <w:rPr>
          <w:sz w:val="24"/>
        </w:rPr>
        <w:t>members</w:t>
      </w:r>
      <w:r>
        <w:rPr>
          <w:spacing w:val="-7"/>
          <w:sz w:val="24"/>
        </w:rPr>
        <w:t xml:space="preserve"> </w:t>
      </w:r>
      <w:r>
        <w:rPr>
          <w:sz w:val="24"/>
        </w:rPr>
        <w:t>on</w:t>
      </w:r>
      <w:r>
        <w:rPr>
          <w:spacing w:val="-4"/>
          <w:sz w:val="24"/>
        </w:rPr>
        <w:t xml:space="preserve"> </w:t>
      </w:r>
      <w:r>
        <w:rPr>
          <w:sz w:val="24"/>
        </w:rPr>
        <w:t>academic</w:t>
      </w:r>
      <w:r>
        <w:rPr>
          <w:spacing w:val="-7"/>
          <w:sz w:val="24"/>
        </w:rPr>
        <w:t xml:space="preserve"> </w:t>
      </w:r>
      <w:r>
        <w:rPr>
          <w:sz w:val="24"/>
        </w:rPr>
        <w:t>committees</w:t>
      </w:r>
      <w:r>
        <w:rPr>
          <w:spacing w:val="-6"/>
          <w:sz w:val="24"/>
        </w:rPr>
        <w:t xml:space="preserve"> </w:t>
      </w:r>
      <w:r>
        <w:rPr>
          <w:sz w:val="24"/>
        </w:rPr>
        <w:t>while</w:t>
      </w:r>
      <w:r>
        <w:rPr>
          <w:spacing w:val="-5"/>
          <w:sz w:val="24"/>
        </w:rPr>
        <w:t xml:space="preserve"> </w:t>
      </w:r>
      <w:r>
        <w:rPr>
          <w:sz w:val="24"/>
        </w:rPr>
        <w:t>also</w:t>
      </w:r>
      <w:r>
        <w:rPr>
          <w:spacing w:val="-6"/>
          <w:sz w:val="24"/>
        </w:rPr>
        <w:t xml:space="preserve"> </w:t>
      </w:r>
      <w:r>
        <w:rPr>
          <w:sz w:val="24"/>
        </w:rPr>
        <w:t>expected</w:t>
      </w:r>
      <w:r>
        <w:rPr>
          <w:spacing w:val="-6"/>
          <w:sz w:val="24"/>
        </w:rPr>
        <w:t xml:space="preserve"> </w:t>
      </w:r>
      <w:r>
        <w:rPr>
          <w:sz w:val="24"/>
        </w:rPr>
        <w:t>to</w:t>
      </w:r>
      <w:r>
        <w:rPr>
          <w:spacing w:val="-6"/>
          <w:sz w:val="24"/>
        </w:rPr>
        <w:t xml:space="preserve"> </w:t>
      </w:r>
      <w:r>
        <w:rPr>
          <w:sz w:val="24"/>
        </w:rPr>
        <w:t>teach</w:t>
      </w:r>
      <w:r>
        <w:rPr>
          <w:spacing w:val="-4"/>
          <w:sz w:val="24"/>
        </w:rPr>
        <w:t xml:space="preserve"> </w:t>
      </w:r>
      <w:r>
        <w:rPr>
          <w:sz w:val="24"/>
        </w:rPr>
        <w:t>specialized</w:t>
      </w:r>
      <w:r>
        <w:rPr>
          <w:spacing w:val="-6"/>
          <w:sz w:val="24"/>
        </w:rPr>
        <w:t xml:space="preserve"> </w:t>
      </w:r>
      <w:r>
        <w:rPr>
          <w:sz w:val="24"/>
        </w:rPr>
        <w:t>courses</w:t>
      </w:r>
      <w:r>
        <w:rPr>
          <w:spacing w:val="-4"/>
          <w:sz w:val="24"/>
        </w:rPr>
        <w:t xml:space="preserve"> </w:t>
      </w:r>
      <w:r>
        <w:rPr>
          <w:sz w:val="24"/>
        </w:rPr>
        <w:t>and/ or to partake in activities that demonstrate expertise in a given</w:t>
      </w:r>
      <w:r>
        <w:rPr>
          <w:spacing w:val="-10"/>
          <w:sz w:val="24"/>
        </w:rPr>
        <w:t xml:space="preserve"> </w:t>
      </w:r>
      <w:r>
        <w:rPr>
          <w:sz w:val="24"/>
        </w:rPr>
        <w:t>area,</w:t>
      </w:r>
    </w:p>
    <w:p w:rsidR="007B3A38" w:rsidRDefault="00103D78">
      <w:pPr>
        <w:pStyle w:val="BodyText"/>
        <w:ind w:left="1179" w:right="678"/>
      </w:pPr>
      <w:r>
        <w:t>(Examples may be the creation of a certificate program in their area of expertise, such as development of curriculum for new courses or electives that highlight their expertise).</w:t>
      </w:r>
    </w:p>
    <w:p w:rsidR="007B3A38" w:rsidRDefault="007B3A38">
      <w:pPr>
        <w:pStyle w:val="BodyText"/>
        <w:spacing w:before="3"/>
      </w:pPr>
    </w:p>
    <w:p w:rsidR="007B3A38" w:rsidRDefault="00103D78">
      <w:pPr>
        <w:pStyle w:val="ListParagraph"/>
        <w:numPr>
          <w:ilvl w:val="0"/>
          <w:numId w:val="3"/>
        </w:numPr>
        <w:tabs>
          <w:tab w:val="left" w:pos="1180"/>
        </w:tabs>
        <w:ind w:right="769"/>
        <w:rPr>
          <w:sz w:val="24"/>
        </w:rPr>
      </w:pPr>
      <w:r>
        <w:rPr>
          <w:sz w:val="24"/>
        </w:rPr>
        <w:t>Senior Lecturers will continue their service responsibilities, but also demonstrate increased leadership roles within School, College, or University committees, or</w:t>
      </w:r>
      <w:r>
        <w:rPr>
          <w:spacing w:val="-22"/>
          <w:sz w:val="24"/>
        </w:rPr>
        <w:t xml:space="preserve"> </w:t>
      </w:r>
      <w:r>
        <w:rPr>
          <w:sz w:val="24"/>
        </w:rPr>
        <w:t>through administrative</w:t>
      </w:r>
      <w:r>
        <w:rPr>
          <w:spacing w:val="-2"/>
          <w:sz w:val="24"/>
        </w:rPr>
        <w:t xml:space="preserve"> </w:t>
      </w:r>
      <w:r>
        <w:rPr>
          <w:sz w:val="24"/>
        </w:rPr>
        <w:t>appointments.</w:t>
      </w:r>
    </w:p>
    <w:p w:rsidR="007B3A38" w:rsidRDefault="007B3A38">
      <w:pPr>
        <w:pStyle w:val="BodyText"/>
      </w:pPr>
    </w:p>
    <w:p w:rsidR="007B3A38" w:rsidRDefault="00103D78">
      <w:pPr>
        <w:pStyle w:val="ListParagraph"/>
        <w:numPr>
          <w:ilvl w:val="0"/>
          <w:numId w:val="3"/>
        </w:numPr>
        <w:tabs>
          <w:tab w:val="left" w:pos="1239"/>
          <w:tab w:val="left" w:pos="1240"/>
        </w:tabs>
        <w:ind w:left="1240" w:hanging="420"/>
        <w:rPr>
          <w:sz w:val="24"/>
        </w:rPr>
      </w:pPr>
      <w:r>
        <w:rPr>
          <w:sz w:val="24"/>
        </w:rPr>
        <w:t xml:space="preserve">Senior Lecturers will be expected to effectively engage students in </w:t>
      </w:r>
      <w:r>
        <w:rPr>
          <w:sz w:val="24"/>
        </w:rPr>
        <w:lastRenderedPageBreak/>
        <w:t>course material</w:t>
      </w:r>
      <w:r>
        <w:rPr>
          <w:spacing w:val="-13"/>
          <w:sz w:val="24"/>
        </w:rPr>
        <w:t xml:space="preserve"> </w:t>
      </w:r>
      <w:r>
        <w:rPr>
          <w:sz w:val="24"/>
        </w:rPr>
        <w:t>and</w:t>
      </w:r>
    </w:p>
    <w:p w:rsidR="007B3A38" w:rsidRDefault="007B3A38">
      <w:pPr>
        <w:rPr>
          <w:sz w:val="24"/>
        </w:rPr>
        <w:sectPr w:rsidR="007B3A38">
          <w:pgSz w:w="12240" w:h="15840"/>
          <w:pgMar w:top="720" w:right="1060" w:bottom="1180" w:left="800" w:header="0" w:footer="998" w:gutter="0"/>
          <w:cols w:space="720"/>
        </w:sectPr>
      </w:pPr>
    </w:p>
    <w:p w:rsidR="007B3A38" w:rsidRDefault="00103D78">
      <w:pPr>
        <w:pStyle w:val="BodyText"/>
        <w:ind w:left="115"/>
        <w:rPr>
          <w:sz w:val="20"/>
        </w:rPr>
      </w:pPr>
      <w:r>
        <w:rPr>
          <w:noProof/>
          <w:sz w:val="20"/>
        </w:rPr>
        <w:lastRenderedPageBreak/>
        <w:drawing>
          <wp:inline distT="0" distB="0" distL="0" distR="0">
            <wp:extent cx="2853979" cy="101622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853979" cy="1016222"/>
                    </a:xfrm>
                    <a:prstGeom prst="rect">
                      <a:avLst/>
                    </a:prstGeom>
                  </pic:spPr>
                </pic:pic>
              </a:graphicData>
            </a:graphic>
          </wp:inline>
        </w:drawing>
      </w:r>
    </w:p>
    <w:p w:rsidR="007B3A38" w:rsidRDefault="00103D78">
      <w:pPr>
        <w:pStyle w:val="BodyText"/>
        <w:spacing w:before="13"/>
        <w:ind w:left="1180"/>
      </w:pPr>
      <w:r>
        <w:t>demonstrate efforts at promoting student success and retention.</w:t>
      </w:r>
    </w:p>
    <w:p w:rsidR="007B3A38" w:rsidRDefault="007B3A38">
      <w:pPr>
        <w:pStyle w:val="BodyText"/>
      </w:pPr>
    </w:p>
    <w:p w:rsidR="007B3A38" w:rsidRDefault="00103D78">
      <w:pPr>
        <w:pStyle w:val="ListParagraph"/>
        <w:numPr>
          <w:ilvl w:val="0"/>
          <w:numId w:val="3"/>
        </w:numPr>
        <w:tabs>
          <w:tab w:val="left" w:pos="1180"/>
        </w:tabs>
        <w:ind w:right="324"/>
        <w:rPr>
          <w:sz w:val="24"/>
        </w:rPr>
      </w:pPr>
      <w:r>
        <w:rPr>
          <w:sz w:val="24"/>
        </w:rPr>
        <w:t>A Senior lecturer can apply for promotion to Principal Lecturer after being in the position of Senior Lecturer for a minimum of seven</w:t>
      </w:r>
      <w:r>
        <w:rPr>
          <w:spacing w:val="1"/>
          <w:sz w:val="24"/>
        </w:rPr>
        <w:t xml:space="preserve"> </w:t>
      </w:r>
      <w:r>
        <w:rPr>
          <w:sz w:val="24"/>
        </w:rPr>
        <w:t>years.</w:t>
      </w:r>
    </w:p>
    <w:p w:rsidR="007B3A38" w:rsidRDefault="007B3A38">
      <w:pPr>
        <w:rPr>
          <w:sz w:val="24"/>
        </w:rPr>
        <w:sectPr w:rsidR="007B3A38">
          <w:pgSz w:w="12240" w:h="15840"/>
          <w:pgMar w:top="720" w:right="1060" w:bottom="1180" w:left="800" w:header="0" w:footer="998" w:gutter="0"/>
          <w:cols w:space="720"/>
        </w:sectPr>
      </w:pPr>
    </w:p>
    <w:p w:rsidR="007B3A38" w:rsidRDefault="00103D78">
      <w:pPr>
        <w:pStyle w:val="BodyText"/>
        <w:ind w:left="115"/>
        <w:rPr>
          <w:sz w:val="20"/>
        </w:rPr>
      </w:pPr>
      <w:r>
        <w:rPr>
          <w:noProof/>
          <w:sz w:val="20"/>
        </w:rPr>
        <w:lastRenderedPageBreak/>
        <w:drawing>
          <wp:inline distT="0" distB="0" distL="0" distR="0">
            <wp:extent cx="2914702" cy="103784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914702" cy="1037844"/>
                    </a:xfrm>
                    <a:prstGeom prst="rect">
                      <a:avLst/>
                    </a:prstGeom>
                  </pic:spPr>
                </pic:pic>
              </a:graphicData>
            </a:graphic>
          </wp:inline>
        </w:drawing>
      </w:r>
    </w:p>
    <w:p w:rsidR="007B3A38" w:rsidRDefault="007B3A38">
      <w:pPr>
        <w:pStyle w:val="BodyText"/>
        <w:spacing w:before="11"/>
        <w:rPr>
          <w:sz w:val="13"/>
        </w:rPr>
      </w:pPr>
    </w:p>
    <w:p w:rsidR="007B3A38" w:rsidRDefault="00103D78">
      <w:pPr>
        <w:pStyle w:val="Heading1"/>
        <w:spacing w:before="90"/>
        <w:rPr>
          <w:u w:val="none"/>
        </w:rPr>
      </w:pPr>
      <w:bookmarkStart w:id="7" w:name="Promotion_from_Senior_Lecturer_to_Princi"/>
      <w:bookmarkEnd w:id="7"/>
      <w:r>
        <w:rPr>
          <w:u w:val="thick"/>
        </w:rPr>
        <w:t>Promotion from Senior Lecturer to Principal Lecturer</w:t>
      </w:r>
    </w:p>
    <w:p w:rsidR="007B3A38" w:rsidRDefault="00103D78">
      <w:pPr>
        <w:pStyle w:val="ListParagraph"/>
        <w:numPr>
          <w:ilvl w:val="0"/>
          <w:numId w:val="2"/>
        </w:numPr>
        <w:tabs>
          <w:tab w:val="left" w:pos="1180"/>
        </w:tabs>
        <w:spacing w:before="175"/>
        <w:ind w:right="907"/>
        <w:rPr>
          <w:sz w:val="24"/>
        </w:rPr>
      </w:pPr>
      <w:r>
        <w:rPr>
          <w:sz w:val="24"/>
        </w:rPr>
        <w:t>A Senior Lecturer seeking promotion to the rank of Principal Lecturer must be in their position for a minimum of seven years at</w:t>
      </w:r>
      <w:r>
        <w:rPr>
          <w:spacing w:val="-1"/>
          <w:sz w:val="24"/>
        </w:rPr>
        <w:t xml:space="preserve"> </w:t>
      </w:r>
      <w:r>
        <w:rPr>
          <w:sz w:val="24"/>
        </w:rPr>
        <w:t>ASU</w:t>
      </w:r>
    </w:p>
    <w:p w:rsidR="007B3A38" w:rsidRDefault="007B3A38">
      <w:pPr>
        <w:pStyle w:val="BodyText"/>
      </w:pPr>
    </w:p>
    <w:p w:rsidR="007B3A38" w:rsidRDefault="00103D78">
      <w:pPr>
        <w:pStyle w:val="ListParagraph"/>
        <w:numPr>
          <w:ilvl w:val="0"/>
          <w:numId w:val="2"/>
        </w:numPr>
        <w:tabs>
          <w:tab w:val="left" w:pos="1180"/>
        </w:tabs>
        <w:ind w:right="482"/>
        <w:rPr>
          <w:sz w:val="24"/>
        </w:rPr>
      </w:pPr>
      <w:r>
        <w:rPr>
          <w:sz w:val="24"/>
        </w:rPr>
        <w:t>A Senior Lecturer seeking promotion to the rank of Principal Lecturer, must demonstrate</w:t>
      </w:r>
      <w:r>
        <w:rPr>
          <w:spacing w:val="-24"/>
          <w:sz w:val="24"/>
        </w:rPr>
        <w:t xml:space="preserve"> </w:t>
      </w:r>
      <w:r>
        <w:rPr>
          <w:sz w:val="24"/>
        </w:rPr>
        <w:t>a record of continued and sustained excellence in teaching, as well as increased leadership roles in service activities since the last</w:t>
      </w:r>
      <w:r>
        <w:rPr>
          <w:spacing w:val="-3"/>
          <w:sz w:val="24"/>
        </w:rPr>
        <w:t xml:space="preserve"> </w:t>
      </w:r>
      <w:r>
        <w:rPr>
          <w:sz w:val="24"/>
        </w:rPr>
        <w:t>promotion.</w:t>
      </w:r>
    </w:p>
    <w:p w:rsidR="007B3A38" w:rsidRDefault="007B3A38">
      <w:pPr>
        <w:pStyle w:val="BodyText"/>
      </w:pPr>
    </w:p>
    <w:p w:rsidR="007B3A38" w:rsidRDefault="00103D78">
      <w:pPr>
        <w:pStyle w:val="ListParagraph"/>
        <w:numPr>
          <w:ilvl w:val="0"/>
          <w:numId w:val="2"/>
        </w:numPr>
        <w:tabs>
          <w:tab w:val="left" w:pos="1180"/>
        </w:tabs>
        <w:ind w:right="218"/>
        <w:rPr>
          <w:sz w:val="24"/>
        </w:rPr>
      </w:pPr>
      <w:r>
        <w:rPr>
          <w:sz w:val="24"/>
        </w:rPr>
        <w:t>In addition to responsibilities outlined for the rank of Senior Lecturer, candidates seeking promotion to the rank of Principal Lecturer will demonstrate evidence of taking a leadership role in the department, or with community partnerships or pursue special projects (that do not include standard responsibilities) demonstrating significant leadership and contributions. For example, perform Lead duties on a course(s), Chair a department committee, demonstrate leadership and contribution in curriculum development, oversight of a certificate, participate in College or University level leadership (for example, serve on academic governance committees such as Faculty Senate, University Academic Council committee or act in the capacity of student organization</w:t>
      </w:r>
      <w:r>
        <w:rPr>
          <w:spacing w:val="-15"/>
          <w:sz w:val="24"/>
        </w:rPr>
        <w:t xml:space="preserve"> </w:t>
      </w:r>
      <w:r>
        <w:rPr>
          <w:sz w:val="24"/>
        </w:rPr>
        <w:t>advisor).</w:t>
      </w:r>
    </w:p>
    <w:p w:rsidR="007B3A38" w:rsidRDefault="007B3A38">
      <w:pPr>
        <w:pStyle w:val="BodyText"/>
      </w:pPr>
    </w:p>
    <w:p w:rsidR="007B3A38" w:rsidRDefault="00103D78">
      <w:pPr>
        <w:pStyle w:val="ListParagraph"/>
        <w:numPr>
          <w:ilvl w:val="0"/>
          <w:numId w:val="2"/>
        </w:numPr>
        <w:tabs>
          <w:tab w:val="left" w:pos="1180"/>
        </w:tabs>
        <w:ind w:right="573"/>
        <w:rPr>
          <w:sz w:val="24"/>
        </w:rPr>
      </w:pPr>
      <w:r>
        <w:rPr>
          <w:sz w:val="24"/>
        </w:rPr>
        <w:t>Principal Lecturers continue their responsibilities as outlined in their job description and employment contract of teaching and service responsibilities but in addition demonstrate ongoing and sustained leadership by mentoring students and or other faculty, professional development (for example independent mentoring, independent study, or oversight of a scholarly activity) as well as sharing innovative practices freely with others in the department or</w:t>
      </w:r>
      <w:r>
        <w:rPr>
          <w:spacing w:val="-12"/>
          <w:sz w:val="24"/>
        </w:rPr>
        <w:t xml:space="preserve"> </w:t>
      </w:r>
      <w:r>
        <w:rPr>
          <w:sz w:val="24"/>
        </w:rPr>
        <w:t>College.</w:t>
      </w:r>
    </w:p>
    <w:p w:rsidR="007B3A38" w:rsidRDefault="007B3A38">
      <w:pPr>
        <w:pStyle w:val="BodyText"/>
        <w:rPr>
          <w:sz w:val="26"/>
        </w:rPr>
      </w:pPr>
    </w:p>
    <w:p w:rsidR="007B3A38" w:rsidRDefault="007B3A38">
      <w:pPr>
        <w:pStyle w:val="BodyText"/>
        <w:rPr>
          <w:sz w:val="26"/>
        </w:rPr>
      </w:pPr>
    </w:p>
    <w:p w:rsidR="007B3A38" w:rsidRDefault="007B3A38">
      <w:pPr>
        <w:pStyle w:val="BodyText"/>
        <w:spacing w:before="4"/>
        <w:rPr>
          <w:sz w:val="28"/>
        </w:rPr>
      </w:pPr>
    </w:p>
    <w:p w:rsidR="007B3A38" w:rsidRDefault="00103D78">
      <w:pPr>
        <w:pStyle w:val="Heading1"/>
        <w:spacing w:before="1"/>
        <w:rPr>
          <w:u w:val="none"/>
        </w:rPr>
      </w:pPr>
      <w:bookmarkStart w:id="8" w:name="Process_Guide_for_Promotion:"/>
      <w:bookmarkEnd w:id="8"/>
      <w:r>
        <w:rPr>
          <w:u w:val="thick"/>
        </w:rPr>
        <w:t>Process Guide for Promotion:</w:t>
      </w:r>
    </w:p>
    <w:p w:rsidR="007B3A38" w:rsidRDefault="00103D78">
      <w:pPr>
        <w:pStyle w:val="ListParagraph"/>
        <w:numPr>
          <w:ilvl w:val="0"/>
          <w:numId w:val="1"/>
        </w:numPr>
        <w:tabs>
          <w:tab w:val="left" w:pos="1180"/>
        </w:tabs>
        <w:spacing w:before="172"/>
        <w:ind w:right="272"/>
        <w:rPr>
          <w:sz w:val="24"/>
        </w:rPr>
      </w:pPr>
      <w:r>
        <w:rPr>
          <w:sz w:val="24"/>
        </w:rPr>
        <w:t>Candidates requesting promotion should provide a packet that aligns with Faculty Promotion</w:t>
      </w:r>
      <w:r>
        <w:rPr>
          <w:color w:val="0461C1"/>
          <w:sz w:val="24"/>
          <w:u w:val="single" w:color="0461C1"/>
        </w:rPr>
        <w:t xml:space="preserve"> </w:t>
      </w:r>
      <w:hyperlink r:id="rId10">
        <w:r>
          <w:rPr>
            <w:color w:val="0461C1"/>
            <w:sz w:val="24"/>
            <w:u w:val="single" w:color="0461C1"/>
          </w:rPr>
          <w:t>ACD 506-05</w:t>
        </w:r>
      </w:hyperlink>
      <w:r>
        <w:rPr>
          <w:color w:val="0461C1"/>
          <w:sz w:val="24"/>
        </w:rPr>
        <w:t xml:space="preserve"> </w:t>
      </w:r>
      <w:r>
        <w:rPr>
          <w:sz w:val="24"/>
        </w:rPr>
        <w:t>(Review for Promotion: Fixed-Term Faculty) to the School of Social Work, Non-tenured Committee Chair</w:t>
      </w:r>
      <w:r>
        <w:rPr>
          <w:spacing w:val="-1"/>
          <w:sz w:val="24"/>
        </w:rPr>
        <w:t xml:space="preserve"> </w:t>
      </w:r>
      <w:r>
        <w:rPr>
          <w:sz w:val="24"/>
        </w:rPr>
        <w:t>(NTC).</w:t>
      </w:r>
    </w:p>
    <w:p w:rsidR="007B3A38" w:rsidRDefault="007B3A38">
      <w:pPr>
        <w:pStyle w:val="BodyText"/>
      </w:pPr>
    </w:p>
    <w:p w:rsidR="007B3A38" w:rsidRDefault="00103D78">
      <w:pPr>
        <w:pStyle w:val="ListParagraph"/>
        <w:numPr>
          <w:ilvl w:val="0"/>
          <w:numId w:val="1"/>
        </w:numPr>
        <w:tabs>
          <w:tab w:val="left" w:pos="1180"/>
        </w:tabs>
        <w:spacing w:before="1"/>
        <w:ind w:right="198"/>
        <w:rPr>
          <w:sz w:val="24"/>
        </w:rPr>
      </w:pPr>
      <w:r>
        <w:rPr>
          <w:sz w:val="24"/>
        </w:rPr>
        <w:t>The candidate is responsible for providing requested information to the Non-Tenure Track Committee (NTC) within the period established by the School, College, and University. Candidate should work with the Chair of the NTC to identify what information the promotion application should contain and the format in which it should be submitted (i.e. promotion dossier should aligns with Faculty Promotion</w:t>
      </w:r>
      <w:r>
        <w:rPr>
          <w:color w:val="0461C1"/>
          <w:sz w:val="24"/>
        </w:rPr>
        <w:t xml:space="preserve"> </w:t>
      </w:r>
      <w:hyperlink r:id="rId11">
        <w:r>
          <w:rPr>
            <w:color w:val="0461C1"/>
            <w:sz w:val="24"/>
            <w:u w:val="single" w:color="0461C1"/>
          </w:rPr>
          <w:t>ACD 506-05</w:t>
        </w:r>
      </w:hyperlink>
      <w:r>
        <w:rPr>
          <w:color w:val="0461C1"/>
          <w:sz w:val="24"/>
        </w:rPr>
        <w:t xml:space="preserve"> </w:t>
      </w:r>
      <w:r>
        <w:rPr>
          <w:sz w:val="24"/>
        </w:rPr>
        <w:t>(Review for Promotion: Fixed- Term Faculty) and</w:t>
      </w:r>
      <w:hyperlink r:id="rId12">
        <w:r>
          <w:rPr>
            <w:color w:val="0461C1"/>
            <w:sz w:val="24"/>
          </w:rPr>
          <w:t xml:space="preserve"> </w:t>
        </w:r>
        <w:r>
          <w:rPr>
            <w:color w:val="0461C1"/>
            <w:sz w:val="24"/>
            <w:u w:val="single" w:color="0461C1"/>
          </w:rPr>
          <w:t>Process Guide for Promotion of Fixed-term</w:t>
        </w:r>
        <w:r>
          <w:rPr>
            <w:color w:val="0461C1"/>
            <w:spacing w:val="-11"/>
            <w:sz w:val="24"/>
            <w:u w:val="single" w:color="0461C1"/>
          </w:rPr>
          <w:t xml:space="preserve"> </w:t>
        </w:r>
        <w:r>
          <w:rPr>
            <w:color w:val="0461C1"/>
            <w:sz w:val="24"/>
            <w:u w:val="single" w:color="0461C1"/>
          </w:rPr>
          <w:t>Faculty</w:t>
        </w:r>
      </w:hyperlink>
      <w:r>
        <w:rPr>
          <w:sz w:val="24"/>
        </w:rPr>
        <w:t>).</w:t>
      </w:r>
    </w:p>
    <w:p w:rsidR="007B3A38" w:rsidRDefault="007B3A38">
      <w:pPr>
        <w:pStyle w:val="BodyText"/>
        <w:spacing w:before="2"/>
        <w:rPr>
          <w:sz w:val="16"/>
        </w:rPr>
      </w:pPr>
    </w:p>
    <w:p w:rsidR="007B3A38" w:rsidRDefault="00103D78">
      <w:pPr>
        <w:pStyle w:val="ListParagraph"/>
        <w:numPr>
          <w:ilvl w:val="0"/>
          <w:numId w:val="1"/>
        </w:numPr>
        <w:tabs>
          <w:tab w:val="left" w:pos="1180"/>
        </w:tabs>
        <w:spacing w:before="90"/>
        <w:ind w:right="368"/>
        <w:rPr>
          <w:sz w:val="24"/>
        </w:rPr>
      </w:pPr>
      <w:r>
        <w:rPr>
          <w:sz w:val="24"/>
        </w:rPr>
        <w:t>For the School of Social Work, the Non-Tenured Committee (NTC) will review</w:t>
      </w:r>
      <w:r>
        <w:rPr>
          <w:spacing w:val="-23"/>
          <w:sz w:val="24"/>
        </w:rPr>
        <w:t xml:space="preserve"> </w:t>
      </w:r>
      <w:r>
        <w:rPr>
          <w:sz w:val="24"/>
        </w:rPr>
        <w:t xml:space="preserve">candidate’s dossier, and vote on the promotion. The vote </w:t>
      </w:r>
      <w:r>
        <w:rPr>
          <w:sz w:val="24"/>
        </w:rPr>
        <w:lastRenderedPageBreak/>
        <w:t>and final recommendation are advisory to</w:t>
      </w:r>
      <w:r>
        <w:rPr>
          <w:spacing w:val="-16"/>
          <w:sz w:val="24"/>
        </w:rPr>
        <w:t xml:space="preserve"> </w:t>
      </w:r>
      <w:r>
        <w:rPr>
          <w:sz w:val="24"/>
        </w:rPr>
        <w:t>the</w:t>
      </w:r>
    </w:p>
    <w:p w:rsidR="007B3A38" w:rsidRDefault="007B3A38">
      <w:pPr>
        <w:rPr>
          <w:sz w:val="24"/>
        </w:rPr>
        <w:sectPr w:rsidR="007B3A38">
          <w:pgSz w:w="12240" w:h="15840"/>
          <w:pgMar w:top="720" w:right="1060" w:bottom="1180" w:left="800" w:header="0" w:footer="998" w:gutter="0"/>
          <w:cols w:space="720"/>
        </w:sectPr>
      </w:pPr>
    </w:p>
    <w:p w:rsidR="007B3A38" w:rsidRDefault="00103D78">
      <w:pPr>
        <w:pStyle w:val="BodyText"/>
        <w:ind w:left="115"/>
        <w:rPr>
          <w:sz w:val="20"/>
        </w:rPr>
      </w:pPr>
      <w:r>
        <w:rPr>
          <w:noProof/>
          <w:sz w:val="20"/>
        </w:rPr>
        <w:lastRenderedPageBreak/>
        <w:drawing>
          <wp:inline distT="0" distB="0" distL="0" distR="0">
            <wp:extent cx="2853979" cy="101622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853979" cy="1016222"/>
                    </a:xfrm>
                    <a:prstGeom prst="rect">
                      <a:avLst/>
                    </a:prstGeom>
                  </pic:spPr>
                </pic:pic>
              </a:graphicData>
            </a:graphic>
          </wp:inline>
        </w:drawing>
      </w:r>
    </w:p>
    <w:p w:rsidR="007B3A38" w:rsidRDefault="00103D78">
      <w:pPr>
        <w:pStyle w:val="BodyText"/>
        <w:spacing w:before="13"/>
        <w:ind w:left="1180"/>
      </w:pPr>
      <w:r>
        <w:t>Director who will make the final decision.</w:t>
      </w:r>
    </w:p>
    <w:p w:rsidR="007B3A38" w:rsidRDefault="007B3A38">
      <w:pPr>
        <w:pStyle w:val="BodyText"/>
        <w:rPr>
          <w:sz w:val="26"/>
        </w:rPr>
      </w:pPr>
    </w:p>
    <w:p w:rsidR="007B3A38" w:rsidRDefault="007B3A38">
      <w:pPr>
        <w:pStyle w:val="BodyText"/>
        <w:spacing w:before="10"/>
        <w:rPr>
          <w:sz w:val="37"/>
        </w:rPr>
      </w:pPr>
    </w:p>
    <w:p w:rsidR="007B3A38" w:rsidRDefault="00103D78">
      <w:pPr>
        <w:pStyle w:val="Heading1"/>
        <w:ind w:left="359"/>
        <w:rPr>
          <w:u w:val="none"/>
        </w:rPr>
      </w:pPr>
      <w:bookmarkStart w:id="9" w:name="Promotion_and_Evaluation_Procedures:"/>
      <w:bookmarkEnd w:id="9"/>
      <w:r>
        <w:rPr>
          <w:u w:val="thick"/>
        </w:rPr>
        <w:t>Promotion and Evaluation Procedures:</w:t>
      </w:r>
    </w:p>
    <w:p w:rsidR="007B3A38" w:rsidRDefault="00103D78">
      <w:pPr>
        <w:pStyle w:val="BodyText"/>
        <w:spacing w:before="175" w:line="259" w:lineRule="auto"/>
        <w:ind w:left="460" w:right="175"/>
      </w:pPr>
      <w:r>
        <w:t xml:space="preserve">The purpose of the promotion review is to ascertain whether a Lecturer has met the criteria for promotion in the School of Social Work. The Non-tenure Track Committee (NTC) will review each candidate. The Chair of NTC will evaluate all relevant and required promotion material submitted by the candidate and by the unit. The Chair of the NTC will a letter to the Director of the School of Social Work, which includes a recommendation from the committee for or against promotion. The Director will make the final decision and in accordance with Faculty Promotion </w:t>
      </w:r>
      <w:hyperlink r:id="rId13">
        <w:r>
          <w:rPr>
            <w:color w:val="0461C1"/>
            <w:u w:val="single" w:color="0461C1"/>
          </w:rPr>
          <w:t>ACD 506-05</w:t>
        </w:r>
      </w:hyperlink>
      <w:r>
        <w:t xml:space="preserve">, </w:t>
      </w:r>
      <w:hyperlink r:id="rId14">
        <w:r>
          <w:rPr>
            <w:color w:val="0461C1"/>
            <w:u w:val="single" w:color="0461C1"/>
          </w:rPr>
          <w:t>Process guide for Promotion of Fixed-Term Faculty</w:t>
        </w:r>
        <w:r>
          <w:rPr>
            <w:color w:val="0461C1"/>
          </w:rPr>
          <w:t xml:space="preserve"> </w:t>
        </w:r>
      </w:hyperlink>
      <w:r>
        <w:t>and Academic Personnel Schedule policy, notify the candidate of the outcome.</w:t>
      </w:r>
    </w:p>
    <w:sectPr w:rsidR="007B3A38">
      <w:pgSz w:w="12240" w:h="15840"/>
      <w:pgMar w:top="720" w:right="1060" w:bottom="1180" w:left="8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2C" w:rsidRDefault="0017282C">
      <w:r>
        <w:separator/>
      </w:r>
    </w:p>
  </w:endnote>
  <w:endnote w:type="continuationSeparator" w:id="0">
    <w:p w:rsidR="0017282C" w:rsidRDefault="0017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8" w:rsidRDefault="00B072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6936105</wp:posOffset>
              </wp:positionH>
              <wp:positionV relativeFrom="page">
                <wp:posOffset>9284970</wp:posOffset>
              </wp:positionV>
              <wp:extent cx="121920" cy="1657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A38" w:rsidRDefault="00103D78">
                          <w:pPr>
                            <w:spacing w:line="245" w:lineRule="exact"/>
                            <w:ind w:left="40"/>
                            <w:rPr>
                              <w:rFonts w:ascii="Calibri"/>
                            </w:rPr>
                          </w:pPr>
                          <w:r>
                            <w:fldChar w:fldCharType="begin"/>
                          </w:r>
                          <w:r>
                            <w:rPr>
                              <w:rFonts w:ascii="Calibri"/>
                            </w:rPr>
                            <w:instrText xml:space="preserve"> PAGE </w:instrText>
                          </w:r>
                          <w:r>
                            <w:fldChar w:fldCharType="separate"/>
                          </w:r>
                          <w:r w:rsidR="005226EF">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15pt;margin-top:731.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" filled="f" stroked="f">
              <v:textbox inset="0,0,0,0">
                <w:txbxContent>
                  <w:p w:rsidR="007B3A38" w:rsidRDefault="00103D78">
                    <w:pPr>
                      <w:spacing w:line="245" w:lineRule="exact"/>
                      <w:ind w:left="40"/>
                      <w:rPr>
                        <w:rFonts w:ascii="Calibri"/>
                      </w:rPr>
                    </w:pPr>
                    <w:r>
                      <w:fldChar w:fldCharType="begin"/>
                    </w:r>
                    <w:r>
                      <w:rPr>
                        <w:rFonts w:ascii="Calibri"/>
                      </w:rPr>
                      <w:instrText xml:space="preserve"> PAGE </w:instrText>
                    </w:r>
                    <w:r>
                      <w:fldChar w:fldCharType="separate"/>
                    </w:r>
                    <w:r w:rsidR="005226EF">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2C" w:rsidRDefault="0017282C">
      <w:r>
        <w:separator/>
      </w:r>
    </w:p>
  </w:footnote>
  <w:footnote w:type="continuationSeparator" w:id="0">
    <w:p w:rsidR="0017282C" w:rsidRDefault="0017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6E6A"/>
    <w:multiLevelType w:val="hybridMultilevel"/>
    <w:tmpl w:val="46FCA536"/>
    <w:lvl w:ilvl="0" w:tplc="A1A81D0C">
      <w:start w:val="1"/>
      <w:numFmt w:val="decimal"/>
      <w:lvlText w:val="%1."/>
      <w:lvlJc w:val="left"/>
      <w:pPr>
        <w:ind w:left="1180" w:hanging="360"/>
        <w:jc w:val="left"/>
      </w:pPr>
      <w:rPr>
        <w:rFonts w:ascii="Times New Roman" w:eastAsia="Times New Roman" w:hAnsi="Times New Roman" w:cs="Times New Roman" w:hint="default"/>
        <w:spacing w:val="-4"/>
        <w:w w:val="95"/>
        <w:sz w:val="24"/>
        <w:szCs w:val="24"/>
      </w:rPr>
    </w:lvl>
    <w:lvl w:ilvl="1" w:tplc="E0D4B008">
      <w:numFmt w:val="bullet"/>
      <w:lvlText w:val="•"/>
      <w:lvlJc w:val="left"/>
      <w:pPr>
        <w:ind w:left="2100" w:hanging="360"/>
      </w:pPr>
      <w:rPr>
        <w:rFonts w:hint="default"/>
      </w:rPr>
    </w:lvl>
    <w:lvl w:ilvl="2" w:tplc="C2A00200">
      <w:numFmt w:val="bullet"/>
      <w:lvlText w:val="•"/>
      <w:lvlJc w:val="left"/>
      <w:pPr>
        <w:ind w:left="3020" w:hanging="360"/>
      </w:pPr>
      <w:rPr>
        <w:rFonts w:hint="default"/>
      </w:rPr>
    </w:lvl>
    <w:lvl w:ilvl="3" w:tplc="FC3072C6">
      <w:numFmt w:val="bullet"/>
      <w:lvlText w:val="•"/>
      <w:lvlJc w:val="left"/>
      <w:pPr>
        <w:ind w:left="3940" w:hanging="360"/>
      </w:pPr>
      <w:rPr>
        <w:rFonts w:hint="default"/>
      </w:rPr>
    </w:lvl>
    <w:lvl w:ilvl="4" w:tplc="7CD09DAC">
      <w:numFmt w:val="bullet"/>
      <w:lvlText w:val="•"/>
      <w:lvlJc w:val="left"/>
      <w:pPr>
        <w:ind w:left="4860" w:hanging="360"/>
      </w:pPr>
      <w:rPr>
        <w:rFonts w:hint="default"/>
      </w:rPr>
    </w:lvl>
    <w:lvl w:ilvl="5" w:tplc="4C04B188">
      <w:numFmt w:val="bullet"/>
      <w:lvlText w:val="•"/>
      <w:lvlJc w:val="left"/>
      <w:pPr>
        <w:ind w:left="5780" w:hanging="360"/>
      </w:pPr>
      <w:rPr>
        <w:rFonts w:hint="default"/>
      </w:rPr>
    </w:lvl>
    <w:lvl w:ilvl="6" w:tplc="530A3D7E">
      <w:numFmt w:val="bullet"/>
      <w:lvlText w:val="•"/>
      <w:lvlJc w:val="left"/>
      <w:pPr>
        <w:ind w:left="6700" w:hanging="360"/>
      </w:pPr>
      <w:rPr>
        <w:rFonts w:hint="default"/>
      </w:rPr>
    </w:lvl>
    <w:lvl w:ilvl="7" w:tplc="91C48C6C">
      <w:numFmt w:val="bullet"/>
      <w:lvlText w:val="•"/>
      <w:lvlJc w:val="left"/>
      <w:pPr>
        <w:ind w:left="7620" w:hanging="360"/>
      </w:pPr>
      <w:rPr>
        <w:rFonts w:hint="default"/>
      </w:rPr>
    </w:lvl>
    <w:lvl w:ilvl="8" w:tplc="7A1AC916">
      <w:numFmt w:val="bullet"/>
      <w:lvlText w:val="•"/>
      <w:lvlJc w:val="left"/>
      <w:pPr>
        <w:ind w:left="8540" w:hanging="360"/>
      </w:pPr>
      <w:rPr>
        <w:rFonts w:hint="default"/>
      </w:rPr>
    </w:lvl>
  </w:abstractNum>
  <w:abstractNum w:abstractNumId="1" w15:restartNumberingAfterBreak="0">
    <w:nsid w:val="68D04AFD"/>
    <w:multiLevelType w:val="hybridMultilevel"/>
    <w:tmpl w:val="263C299A"/>
    <w:lvl w:ilvl="0" w:tplc="81063D36">
      <w:start w:val="1"/>
      <w:numFmt w:val="decimal"/>
      <w:lvlText w:val="%1."/>
      <w:lvlJc w:val="left"/>
      <w:pPr>
        <w:ind w:left="1180" w:hanging="360"/>
        <w:jc w:val="left"/>
      </w:pPr>
      <w:rPr>
        <w:rFonts w:ascii="Times New Roman" w:eastAsia="Times New Roman" w:hAnsi="Times New Roman" w:cs="Times New Roman" w:hint="default"/>
        <w:spacing w:val="-4"/>
        <w:w w:val="95"/>
        <w:sz w:val="24"/>
        <w:szCs w:val="24"/>
      </w:rPr>
    </w:lvl>
    <w:lvl w:ilvl="1" w:tplc="C0D05E68">
      <w:numFmt w:val="bullet"/>
      <w:lvlText w:val="•"/>
      <w:lvlJc w:val="left"/>
      <w:pPr>
        <w:ind w:left="2100" w:hanging="360"/>
      </w:pPr>
      <w:rPr>
        <w:rFonts w:hint="default"/>
      </w:rPr>
    </w:lvl>
    <w:lvl w:ilvl="2" w:tplc="11181C34">
      <w:numFmt w:val="bullet"/>
      <w:lvlText w:val="•"/>
      <w:lvlJc w:val="left"/>
      <w:pPr>
        <w:ind w:left="3020" w:hanging="360"/>
      </w:pPr>
      <w:rPr>
        <w:rFonts w:hint="default"/>
      </w:rPr>
    </w:lvl>
    <w:lvl w:ilvl="3" w:tplc="691004E0">
      <w:numFmt w:val="bullet"/>
      <w:lvlText w:val="•"/>
      <w:lvlJc w:val="left"/>
      <w:pPr>
        <w:ind w:left="3940" w:hanging="360"/>
      </w:pPr>
      <w:rPr>
        <w:rFonts w:hint="default"/>
      </w:rPr>
    </w:lvl>
    <w:lvl w:ilvl="4" w:tplc="80FA8C22">
      <w:numFmt w:val="bullet"/>
      <w:lvlText w:val="•"/>
      <w:lvlJc w:val="left"/>
      <w:pPr>
        <w:ind w:left="4860" w:hanging="360"/>
      </w:pPr>
      <w:rPr>
        <w:rFonts w:hint="default"/>
      </w:rPr>
    </w:lvl>
    <w:lvl w:ilvl="5" w:tplc="65446856">
      <w:numFmt w:val="bullet"/>
      <w:lvlText w:val="•"/>
      <w:lvlJc w:val="left"/>
      <w:pPr>
        <w:ind w:left="5780" w:hanging="360"/>
      </w:pPr>
      <w:rPr>
        <w:rFonts w:hint="default"/>
      </w:rPr>
    </w:lvl>
    <w:lvl w:ilvl="6" w:tplc="11F2B71A">
      <w:numFmt w:val="bullet"/>
      <w:lvlText w:val="•"/>
      <w:lvlJc w:val="left"/>
      <w:pPr>
        <w:ind w:left="6700" w:hanging="360"/>
      </w:pPr>
      <w:rPr>
        <w:rFonts w:hint="default"/>
      </w:rPr>
    </w:lvl>
    <w:lvl w:ilvl="7" w:tplc="19A8B880">
      <w:numFmt w:val="bullet"/>
      <w:lvlText w:val="•"/>
      <w:lvlJc w:val="left"/>
      <w:pPr>
        <w:ind w:left="7620" w:hanging="360"/>
      </w:pPr>
      <w:rPr>
        <w:rFonts w:hint="default"/>
      </w:rPr>
    </w:lvl>
    <w:lvl w:ilvl="8" w:tplc="93C8DCD0">
      <w:numFmt w:val="bullet"/>
      <w:lvlText w:val="•"/>
      <w:lvlJc w:val="left"/>
      <w:pPr>
        <w:ind w:left="8540" w:hanging="360"/>
      </w:pPr>
      <w:rPr>
        <w:rFonts w:hint="default"/>
      </w:rPr>
    </w:lvl>
  </w:abstractNum>
  <w:abstractNum w:abstractNumId="2" w15:restartNumberingAfterBreak="0">
    <w:nsid w:val="6F111F56"/>
    <w:multiLevelType w:val="hybridMultilevel"/>
    <w:tmpl w:val="C548F3A4"/>
    <w:lvl w:ilvl="0" w:tplc="89B44586">
      <w:start w:val="1"/>
      <w:numFmt w:val="decimal"/>
      <w:lvlText w:val="%1."/>
      <w:lvlJc w:val="left"/>
      <w:pPr>
        <w:ind w:left="1180" w:hanging="360"/>
        <w:jc w:val="left"/>
      </w:pPr>
      <w:rPr>
        <w:rFonts w:ascii="Times New Roman" w:eastAsia="Times New Roman" w:hAnsi="Times New Roman" w:cs="Times New Roman" w:hint="default"/>
        <w:spacing w:val="-4"/>
        <w:w w:val="95"/>
        <w:sz w:val="24"/>
        <w:szCs w:val="24"/>
      </w:rPr>
    </w:lvl>
    <w:lvl w:ilvl="1" w:tplc="B3C29194">
      <w:numFmt w:val="bullet"/>
      <w:lvlText w:val="•"/>
      <w:lvlJc w:val="left"/>
      <w:pPr>
        <w:ind w:left="2100" w:hanging="360"/>
      </w:pPr>
      <w:rPr>
        <w:rFonts w:hint="default"/>
      </w:rPr>
    </w:lvl>
    <w:lvl w:ilvl="2" w:tplc="3C969CE2">
      <w:numFmt w:val="bullet"/>
      <w:lvlText w:val="•"/>
      <w:lvlJc w:val="left"/>
      <w:pPr>
        <w:ind w:left="3020" w:hanging="360"/>
      </w:pPr>
      <w:rPr>
        <w:rFonts w:hint="default"/>
      </w:rPr>
    </w:lvl>
    <w:lvl w:ilvl="3" w:tplc="00C6FE8A">
      <w:numFmt w:val="bullet"/>
      <w:lvlText w:val="•"/>
      <w:lvlJc w:val="left"/>
      <w:pPr>
        <w:ind w:left="3940" w:hanging="360"/>
      </w:pPr>
      <w:rPr>
        <w:rFonts w:hint="default"/>
      </w:rPr>
    </w:lvl>
    <w:lvl w:ilvl="4" w:tplc="7694A0E0">
      <w:numFmt w:val="bullet"/>
      <w:lvlText w:val="•"/>
      <w:lvlJc w:val="left"/>
      <w:pPr>
        <w:ind w:left="4860" w:hanging="360"/>
      </w:pPr>
      <w:rPr>
        <w:rFonts w:hint="default"/>
      </w:rPr>
    </w:lvl>
    <w:lvl w:ilvl="5" w:tplc="45E01E4E">
      <w:numFmt w:val="bullet"/>
      <w:lvlText w:val="•"/>
      <w:lvlJc w:val="left"/>
      <w:pPr>
        <w:ind w:left="5780" w:hanging="360"/>
      </w:pPr>
      <w:rPr>
        <w:rFonts w:hint="default"/>
      </w:rPr>
    </w:lvl>
    <w:lvl w:ilvl="6" w:tplc="03565176">
      <w:numFmt w:val="bullet"/>
      <w:lvlText w:val="•"/>
      <w:lvlJc w:val="left"/>
      <w:pPr>
        <w:ind w:left="6700" w:hanging="360"/>
      </w:pPr>
      <w:rPr>
        <w:rFonts w:hint="default"/>
      </w:rPr>
    </w:lvl>
    <w:lvl w:ilvl="7" w:tplc="98D494E6">
      <w:numFmt w:val="bullet"/>
      <w:lvlText w:val="•"/>
      <w:lvlJc w:val="left"/>
      <w:pPr>
        <w:ind w:left="7620" w:hanging="360"/>
      </w:pPr>
      <w:rPr>
        <w:rFonts w:hint="default"/>
      </w:rPr>
    </w:lvl>
    <w:lvl w:ilvl="8" w:tplc="C61485AA">
      <w:numFmt w:val="bullet"/>
      <w:lvlText w:val="•"/>
      <w:lvlJc w:val="left"/>
      <w:pPr>
        <w:ind w:left="8540" w:hanging="360"/>
      </w:pPr>
      <w:rPr>
        <w:rFonts w:hint="default"/>
      </w:rPr>
    </w:lvl>
  </w:abstractNum>
  <w:abstractNum w:abstractNumId="3" w15:restartNumberingAfterBreak="0">
    <w:nsid w:val="7CA04EFD"/>
    <w:multiLevelType w:val="hybridMultilevel"/>
    <w:tmpl w:val="E8FA40FC"/>
    <w:lvl w:ilvl="0" w:tplc="8814D1D0">
      <w:start w:val="1"/>
      <w:numFmt w:val="decimal"/>
      <w:lvlText w:val="%1."/>
      <w:lvlJc w:val="left"/>
      <w:pPr>
        <w:ind w:left="1180" w:hanging="360"/>
        <w:jc w:val="left"/>
      </w:pPr>
      <w:rPr>
        <w:rFonts w:ascii="Times New Roman" w:eastAsia="Times New Roman" w:hAnsi="Times New Roman" w:cs="Times New Roman" w:hint="default"/>
        <w:spacing w:val="-4"/>
        <w:w w:val="95"/>
        <w:sz w:val="24"/>
        <w:szCs w:val="24"/>
      </w:rPr>
    </w:lvl>
    <w:lvl w:ilvl="1" w:tplc="A81CEC7A">
      <w:numFmt w:val="bullet"/>
      <w:lvlText w:val="•"/>
      <w:lvlJc w:val="left"/>
      <w:pPr>
        <w:ind w:left="2100" w:hanging="360"/>
      </w:pPr>
      <w:rPr>
        <w:rFonts w:hint="default"/>
      </w:rPr>
    </w:lvl>
    <w:lvl w:ilvl="2" w:tplc="B8E000E0">
      <w:numFmt w:val="bullet"/>
      <w:lvlText w:val="•"/>
      <w:lvlJc w:val="left"/>
      <w:pPr>
        <w:ind w:left="3020" w:hanging="360"/>
      </w:pPr>
      <w:rPr>
        <w:rFonts w:hint="default"/>
      </w:rPr>
    </w:lvl>
    <w:lvl w:ilvl="3" w:tplc="1144DE28">
      <w:numFmt w:val="bullet"/>
      <w:lvlText w:val="•"/>
      <w:lvlJc w:val="left"/>
      <w:pPr>
        <w:ind w:left="3940" w:hanging="360"/>
      </w:pPr>
      <w:rPr>
        <w:rFonts w:hint="default"/>
      </w:rPr>
    </w:lvl>
    <w:lvl w:ilvl="4" w:tplc="50BC9532">
      <w:numFmt w:val="bullet"/>
      <w:lvlText w:val="•"/>
      <w:lvlJc w:val="left"/>
      <w:pPr>
        <w:ind w:left="4860" w:hanging="360"/>
      </w:pPr>
      <w:rPr>
        <w:rFonts w:hint="default"/>
      </w:rPr>
    </w:lvl>
    <w:lvl w:ilvl="5" w:tplc="06DCA224">
      <w:numFmt w:val="bullet"/>
      <w:lvlText w:val="•"/>
      <w:lvlJc w:val="left"/>
      <w:pPr>
        <w:ind w:left="5780" w:hanging="360"/>
      </w:pPr>
      <w:rPr>
        <w:rFonts w:hint="default"/>
      </w:rPr>
    </w:lvl>
    <w:lvl w:ilvl="6" w:tplc="C5201978">
      <w:numFmt w:val="bullet"/>
      <w:lvlText w:val="•"/>
      <w:lvlJc w:val="left"/>
      <w:pPr>
        <w:ind w:left="6700" w:hanging="360"/>
      </w:pPr>
      <w:rPr>
        <w:rFonts w:hint="default"/>
      </w:rPr>
    </w:lvl>
    <w:lvl w:ilvl="7" w:tplc="87A440E4">
      <w:numFmt w:val="bullet"/>
      <w:lvlText w:val="•"/>
      <w:lvlJc w:val="left"/>
      <w:pPr>
        <w:ind w:left="7620" w:hanging="360"/>
      </w:pPr>
      <w:rPr>
        <w:rFonts w:hint="default"/>
      </w:rPr>
    </w:lvl>
    <w:lvl w:ilvl="8" w:tplc="F5A8BFDC">
      <w:numFmt w:val="bullet"/>
      <w:lvlText w:val="•"/>
      <w:lvlJc w:val="left"/>
      <w:pPr>
        <w:ind w:left="85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38"/>
    <w:rsid w:val="00103D78"/>
    <w:rsid w:val="0017282C"/>
    <w:rsid w:val="003D6D2D"/>
    <w:rsid w:val="005226EF"/>
    <w:rsid w:val="007B3A38"/>
    <w:rsid w:val="00B07239"/>
    <w:rsid w:val="00C35BBC"/>
    <w:rsid w:val="00C5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89550"/>
  <w15:docId w15:val="{AA36BB96-0576-4018-B207-2F1F3105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92"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su.edu/aad/manuals/acd/acd506-05.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vost.asu.edu/sites/default/files/page/1562/p6-process-guide-fixed-term-faculty-promotion-2018080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506-0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u.edu/aad/manuals/acd/acd506-05.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rovost.asu.edu/sites/default/files/page/1562/p6-process-guide-fixed-term-faculty-promotion-2018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7971</Characters>
  <Application>Microsoft Office Word</Application>
  <DocSecurity>0</DocSecurity>
  <Lines>166</Lines>
  <Paragraphs>70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David Becerra</dc:creator>
  <cp:lastModifiedBy>Laura Thede (WATTS)</cp:lastModifiedBy>
  <cp:revision>4</cp:revision>
  <dcterms:created xsi:type="dcterms:W3CDTF">2019-08-29T18:51:00Z</dcterms:created>
  <dcterms:modified xsi:type="dcterms:W3CDTF">2019-08-29T18:53:00Z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Adobe Acrobat Pro DC 19.10.20098</vt:lpwstr>
  </property>
  <property fmtid="{D5CDD505-2E9C-101B-9397-08002B2CF9AE}" pid="4" name="LastSaved">
    <vt:filetime>2019-05-21T00:00:00Z</vt:filetime>
  </property>
</Properties>
</file>