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E4E" w:rsidRPr="000E623C" w:rsidRDefault="00856E4E">
      <w:pPr>
        <w:pStyle w:val="BodyText"/>
        <w:kinsoku w:val="0"/>
        <w:overflowPunct w:val="0"/>
        <w:ind w:left="0"/>
        <w:rPr>
          <w:sz w:val="20"/>
          <w:szCs w:val="20"/>
        </w:rPr>
      </w:pPr>
    </w:p>
    <w:p w:rsidR="00856E4E" w:rsidRPr="000E623C" w:rsidRDefault="00856E4E">
      <w:pPr>
        <w:pStyle w:val="BodyText"/>
        <w:kinsoku w:val="0"/>
        <w:overflowPunct w:val="0"/>
        <w:spacing w:before="11"/>
        <w:ind w:left="0"/>
        <w:rPr>
          <w:b/>
          <w:bCs/>
          <w:sz w:val="24"/>
          <w:szCs w:val="24"/>
        </w:rPr>
      </w:pPr>
      <w:bookmarkStart w:id="0" w:name="_GoBack"/>
      <w:bookmarkEnd w:id="0"/>
    </w:p>
    <w:p w:rsidR="000E623C" w:rsidRPr="000E623C" w:rsidRDefault="000E623C" w:rsidP="0071682D">
      <w:pPr>
        <w:jc w:val="center"/>
        <w:rPr>
          <w:b/>
        </w:rPr>
      </w:pPr>
      <w:r w:rsidRPr="000E623C">
        <w:rPr>
          <w:b/>
        </w:rPr>
        <w:t>College of Public Service &amp; Community Solutions</w:t>
      </w:r>
    </w:p>
    <w:p w:rsidR="0071682D" w:rsidRPr="000E623C" w:rsidRDefault="0071682D" w:rsidP="0071682D">
      <w:pPr>
        <w:jc w:val="center"/>
        <w:rPr>
          <w:b/>
        </w:rPr>
      </w:pPr>
      <w:r w:rsidRPr="000E623C">
        <w:rPr>
          <w:b/>
        </w:rPr>
        <w:t>School of Public Affairs</w:t>
      </w:r>
    </w:p>
    <w:p w:rsidR="000E623C" w:rsidRPr="000E623C" w:rsidRDefault="000E623C" w:rsidP="000E623C">
      <w:pPr>
        <w:widowControl/>
        <w:spacing w:line="276" w:lineRule="auto"/>
        <w:jc w:val="center"/>
        <w:rPr>
          <w:rFonts w:eastAsia="Times New Roman"/>
          <w:b/>
          <w:bCs/>
          <w:color w:val="000000"/>
          <w:spacing w:val="-1"/>
        </w:rPr>
      </w:pPr>
      <w:r w:rsidRPr="000E623C">
        <w:rPr>
          <w:rFonts w:eastAsia="Times New Roman"/>
          <w:b/>
          <w:bCs/>
          <w:color w:val="000000"/>
          <w:spacing w:val="-1"/>
        </w:rPr>
        <w:t>Promotion Criteria for Fixed-Term Faculty</w:t>
      </w:r>
    </w:p>
    <w:p w:rsidR="000E623C" w:rsidRPr="000E623C" w:rsidRDefault="000E623C" w:rsidP="0071682D">
      <w:pPr>
        <w:jc w:val="center"/>
        <w:rPr>
          <w:b/>
        </w:rPr>
      </w:pPr>
    </w:p>
    <w:p w:rsidR="000E623C" w:rsidRPr="000E623C" w:rsidRDefault="000E623C" w:rsidP="0071682D">
      <w:pPr>
        <w:jc w:val="center"/>
        <w:rPr>
          <w:b/>
        </w:rPr>
      </w:pPr>
    </w:p>
    <w:p w:rsidR="000E623C" w:rsidRPr="000E623C" w:rsidRDefault="000E623C" w:rsidP="0071682D">
      <w:pPr>
        <w:jc w:val="center"/>
        <w:rPr>
          <w:b/>
        </w:rPr>
      </w:pPr>
      <w:r w:rsidRPr="000E623C">
        <w:rPr>
          <w:b/>
        </w:rPr>
        <w:t>Approved by the faculty assembly May 4, 2016</w:t>
      </w:r>
    </w:p>
    <w:p w:rsidR="000E623C" w:rsidRPr="000E623C" w:rsidRDefault="000E623C" w:rsidP="0071682D">
      <w:pPr>
        <w:jc w:val="center"/>
        <w:rPr>
          <w:b/>
        </w:rPr>
      </w:pPr>
      <w:r w:rsidRPr="000E623C">
        <w:rPr>
          <w:b/>
        </w:rPr>
        <w:t>Approved by the dean on June 7, 2016</w:t>
      </w:r>
    </w:p>
    <w:p w:rsidR="0071682D" w:rsidRPr="000E623C" w:rsidRDefault="0071682D" w:rsidP="0071682D">
      <w:pPr>
        <w:jc w:val="center"/>
      </w:pPr>
    </w:p>
    <w:p w:rsidR="000E623C" w:rsidRPr="000E623C" w:rsidRDefault="000E623C">
      <w:pPr>
        <w:widowControl/>
        <w:autoSpaceDE/>
        <w:autoSpaceDN/>
        <w:adjustRightInd/>
        <w:spacing w:after="160" w:line="259" w:lineRule="auto"/>
      </w:pPr>
      <w:r w:rsidRPr="000E623C">
        <w:br w:type="page"/>
      </w:r>
    </w:p>
    <w:p w:rsidR="000E623C" w:rsidRPr="000E623C" w:rsidRDefault="000E623C" w:rsidP="0071682D">
      <w:pPr>
        <w:jc w:val="center"/>
      </w:pPr>
    </w:p>
    <w:p w:rsidR="002B0CD6" w:rsidRPr="000E623C" w:rsidRDefault="002B0CD6" w:rsidP="0071682D">
      <w:pPr>
        <w:rPr>
          <w:i/>
          <w:sz w:val="20"/>
          <w:szCs w:val="20"/>
        </w:rPr>
      </w:pPr>
    </w:p>
    <w:p w:rsidR="0071682D" w:rsidRPr="000E623C" w:rsidRDefault="0071682D" w:rsidP="002B0CD6">
      <w:pPr>
        <w:widowControl/>
        <w:spacing w:line="276" w:lineRule="auto"/>
        <w:rPr>
          <w:rFonts w:eastAsia="Times New Roman"/>
          <w:b/>
          <w:bCs/>
          <w:color w:val="000000"/>
          <w:spacing w:val="-1"/>
        </w:rPr>
      </w:pPr>
      <w:r w:rsidRPr="000E623C">
        <w:rPr>
          <w:rFonts w:eastAsia="Times New Roman"/>
          <w:b/>
          <w:bCs/>
          <w:color w:val="000000"/>
          <w:spacing w:val="-1"/>
        </w:rPr>
        <w:t>Promotion Criteria for Fixed-Term Faculty</w:t>
      </w:r>
      <w:r w:rsidR="00EC3AC3" w:rsidRPr="000E623C">
        <w:rPr>
          <w:rFonts w:eastAsia="Times New Roman"/>
          <w:b/>
          <w:bCs/>
          <w:color w:val="000000"/>
          <w:spacing w:val="-1"/>
        </w:rPr>
        <w:t xml:space="preserve"> </w:t>
      </w:r>
    </w:p>
    <w:p w:rsidR="00EC3AC3" w:rsidRPr="000E623C" w:rsidRDefault="00EC3AC3" w:rsidP="0071682D">
      <w:pPr>
        <w:widowControl/>
        <w:autoSpaceDE/>
        <w:autoSpaceDN/>
        <w:adjustRightInd/>
        <w:rPr>
          <w:rFonts w:eastAsia="Times New Roman"/>
          <w:color w:val="000000"/>
        </w:rPr>
      </w:pPr>
    </w:p>
    <w:p w:rsidR="0071682D" w:rsidRPr="000E623C" w:rsidRDefault="0071682D" w:rsidP="0071682D">
      <w:pPr>
        <w:widowControl/>
        <w:autoSpaceDE/>
        <w:autoSpaceDN/>
        <w:adjustRightInd/>
        <w:rPr>
          <w:rFonts w:eastAsia="Times New Roman"/>
        </w:rPr>
      </w:pPr>
      <w:r w:rsidRPr="000E623C">
        <w:rPr>
          <w:rFonts w:eastAsia="Times New Roman"/>
          <w:color w:val="000000"/>
        </w:rPr>
        <w:t xml:space="preserve">Research faculty, clinical faculty, and lecturers play an important role in the success of our academic programs, our centers, and the School. Promotion of faculty in these multi-year, fixed term appointments is warranted when achievements are tangibly demonstrated.  </w:t>
      </w:r>
      <w:r w:rsidRPr="000E623C">
        <w:rPr>
          <w:rFonts w:eastAsia="Times New Roman"/>
        </w:rPr>
        <w:t>Promotion recognizes a quality of work higher than that expected for renewal, and is based neither on promise nor longevity, but on demonstrated excellence.</w:t>
      </w:r>
    </w:p>
    <w:p w:rsidR="0071682D" w:rsidRPr="000E623C" w:rsidRDefault="0071682D" w:rsidP="0071682D">
      <w:pPr>
        <w:widowControl/>
        <w:autoSpaceDE/>
        <w:autoSpaceDN/>
        <w:adjustRightInd/>
        <w:ind w:left="720"/>
        <w:rPr>
          <w:rFonts w:eastAsia="Times New Roman"/>
        </w:rPr>
      </w:pPr>
    </w:p>
    <w:p w:rsidR="0071682D" w:rsidRPr="000E623C" w:rsidRDefault="0071682D" w:rsidP="0071682D">
      <w:pPr>
        <w:rPr>
          <w:rFonts w:eastAsia="Times New Roman"/>
        </w:rPr>
      </w:pPr>
      <w:r w:rsidRPr="000E623C">
        <w:rPr>
          <w:rFonts w:eastAsia="Times New Roman"/>
          <w:color w:val="000000"/>
        </w:rPr>
        <w:t xml:space="preserve">It is expected that faculty who seek promotion from the entry level to the next rank have five years in rank, the majority of it at ASU.  Promotion to the highest rank is dependent on evidence of a substantial and sustained record of excellent performance since the previous promotion. </w:t>
      </w:r>
    </w:p>
    <w:p w:rsidR="0071682D" w:rsidRPr="000E623C" w:rsidRDefault="0071682D" w:rsidP="0071682D">
      <w:pPr>
        <w:rPr>
          <w:rFonts w:eastAsia="Times New Roman"/>
        </w:rPr>
      </w:pPr>
    </w:p>
    <w:p w:rsidR="0071682D" w:rsidRPr="000E623C" w:rsidRDefault="0071682D" w:rsidP="0071682D">
      <w:pPr>
        <w:rPr>
          <w:rFonts w:eastAsia="Times New Roman"/>
        </w:rPr>
      </w:pPr>
      <w:r w:rsidRPr="000E623C">
        <w:rPr>
          <w:rFonts w:eastAsia="Times New Roman"/>
        </w:rPr>
        <w:t xml:space="preserve">The expectations for teaching excellence and the manner in which it is evaluated are the same for all clinical, lecturer, research faculty who also teach, and tenured, and tenure-eligible appointments. </w:t>
      </w:r>
    </w:p>
    <w:p w:rsidR="0071682D" w:rsidRPr="000E623C" w:rsidRDefault="0071682D" w:rsidP="0071682D">
      <w:pPr>
        <w:widowControl/>
        <w:tabs>
          <w:tab w:val="left" w:pos="1080"/>
        </w:tabs>
        <w:autoSpaceDE/>
        <w:autoSpaceDN/>
        <w:adjustRightInd/>
        <w:rPr>
          <w:rFonts w:eastAsia="Times New Roman"/>
          <w:color w:val="000000"/>
        </w:rPr>
      </w:pPr>
      <w:r w:rsidRPr="000E623C">
        <w:rPr>
          <w:rFonts w:eastAsia="Times New Roman"/>
          <w:color w:val="000000"/>
        </w:rPr>
        <w:t xml:space="preserve">Assigned job responsibilities may vary considerably from candidate to candidate depending on the needs of the unit. Therefore, promotion criteria should be applied in the context of and as appropriate to the job description. </w:t>
      </w:r>
    </w:p>
    <w:p w:rsidR="0071682D" w:rsidRPr="000E623C" w:rsidRDefault="0071682D" w:rsidP="0071682D">
      <w:pPr>
        <w:widowControl/>
        <w:tabs>
          <w:tab w:val="left" w:pos="1080"/>
        </w:tabs>
        <w:autoSpaceDE/>
        <w:autoSpaceDN/>
        <w:adjustRightInd/>
        <w:rPr>
          <w:rFonts w:eastAsia="Times New Roman"/>
          <w:color w:val="000000"/>
        </w:rPr>
      </w:pPr>
    </w:p>
    <w:p w:rsidR="0071682D" w:rsidRPr="000E623C" w:rsidRDefault="0071682D" w:rsidP="0071682D">
      <w:pPr>
        <w:widowControl/>
        <w:tabs>
          <w:tab w:val="left" w:pos="1080"/>
        </w:tabs>
        <w:autoSpaceDE/>
        <w:autoSpaceDN/>
        <w:adjustRightInd/>
        <w:rPr>
          <w:rFonts w:eastAsia="Times New Roman"/>
          <w:b/>
          <w:color w:val="000000"/>
          <w:u w:val="single"/>
        </w:rPr>
      </w:pPr>
      <w:r w:rsidRPr="000E623C">
        <w:rPr>
          <w:rFonts w:eastAsia="Times New Roman"/>
          <w:b/>
          <w:color w:val="000000"/>
          <w:u w:val="single"/>
        </w:rPr>
        <w:t>Lecturers</w:t>
      </w:r>
    </w:p>
    <w:p w:rsidR="0071682D" w:rsidRPr="000E623C" w:rsidRDefault="0071682D" w:rsidP="0071682D">
      <w:pPr>
        <w:widowControl/>
        <w:tabs>
          <w:tab w:val="left" w:pos="1440"/>
        </w:tabs>
        <w:autoSpaceDE/>
        <w:autoSpaceDN/>
        <w:adjustRightInd/>
        <w:rPr>
          <w:rFonts w:eastAsia="Times New Roman"/>
        </w:rPr>
      </w:pPr>
      <w:r w:rsidRPr="000E623C">
        <w:rPr>
          <w:rFonts w:eastAsia="Times New Roman"/>
          <w:b/>
        </w:rPr>
        <w:t>Lecturers</w:t>
      </w:r>
      <w:r w:rsidRPr="000E623C">
        <w:rPr>
          <w:rFonts w:eastAsia="Times New Roman"/>
        </w:rPr>
        <w:t xml:space="preserve"> who are appointed on multi-year contracts are eligible for promotion based on demonstrated excellence in teaching and service to the School, in accordance with the job description.  The entry-level rank is Lecturer.  </w:t>
      </w:r>
    </w:p>
    <w:p w:rsidR="0071682D" w:rsidRPr="000E623C" w:rsidRDefault="0071682D" w:rsidP="0071682D">
      <w:pPr>
        <w:widowControl/>
        <w:tabs>
          <w:tab w:val="left" w:pos="1440"/>
        </w:tabs>
        <w:autoSpaceDE/>
        <w:autoSpaceDN/>
        <w:adjustRightInd/>
        <w:rPr>
          <w:rFonts w:eastAsia="Times New Roman"/>
        </w:rPr>
      </w:pPr>
    </w:p>
    <w:p w:rsidR="0071682D" w:rsidRPr="000E623C" w:rsidRDefault="0071682D" w:rsidP="0071682D">
      <w:pPr>
        <w:widowControl/>
        <w:tabs>
          <w:tab w:val="left" w:pos="1440"/>
        </w:tabs>
        <w:autoSpaceDE/>
        <w:autoSpaceDN/>
        <w:adjustRightInd/>
        <w:rPr>
          <w:rFonts w:eastAsia="Times New Roman"/>
        </w:rPr>
      </w:pPr>
      <w:r w:rsidRPr="000E623C">
        <w:rPr>
          <w:rFonts w:eastAsia="Times New Roman"/>
          <w:b/>
        </w:rPr>
        <w:t>Promotion to the level of Senior Lecturer</w:t>
      </w:r>
      <w:r w:rsidRPr="000E623C">
        <w:rPr>
          <w:rFonts w:eastAsia="Times New Roman"/>
        </w:rPr>
        <w:t xml:space="preserve"> requires evidence of sustained excellence and leadership in teaching and related service.  </w:t>
      </w:r>
    </w:p>
    <w:p w:rsidR="0071682D" w:rsidRPr="000E623C" w:rsidRDefault="0071682D" w:rsidP="0071682D">
      <w:pPr>
        <w:widowControl/>
        <w:tabs>
          <w:tab w:val="left" w:pos="1440"/>
        </w:tabs>
        <w:autoSpaceDE/>
        <w:autoSpaceDN/>
        <w:adjustRightInd/>
        <w:rPr>
          <w:rFonts w:eastAsia="Times New Roman"/>
        </w:rPr>
      </w:pPr>
    </w:p>
    <w:p w:rsidR="0071682D" w:rsidRPr="000E623C" w:rsidRDefault="0071682D" w:rsidP="0071682D">
      <w:pPr>
        <w:widowControl/>
        <w:tabs>
          <w:tab w:val="left" w:pos="1440"/>
        </w:tabs>
        <w:autoSpaceDE/>
        <w:autoSpaceDN/>
        <w:adjustRightInd/>
        <w:rPr>
          <w:rFonts w:eastAsia="Times New Roman"/>
        </w:rPr>
      </w:pPr>
      <w:r w:rsidRPr="000E623C">
        <w:rPr>
          <w:rFonts w:eastAsia="Times New Roman"/>
          <w:b/>
        </w:rPr>
        <w:t>Promotion to Principal Lecturer</w:t>
      </w:r>
      <w:r w:rsidRPr="000E623C">
        <w:rPr>
          <w:rFonts w:eastAsia="Times New Roman"/>
        </w:rPr>
        <w:t xml:space="preserve"> requires significant leadership and exceptional performance in teaching and related service within the field, including contributions to professional associations (including accrediting associations) or journals on teaching in public affairs.</w:t>
      </w:r>
    </w:p>
    <w:p w:rsidR="0071682D" w:rsidRPr="000E623C" w:rsidRDefault="0071682D" w:rsidP="0071682D">
      <w:pPr>
        <w:widowControl/>
        <w:tabs>
          <w:tab w:val="left" w:pos="1440"/>
        </w:tabs>
        <w:autoSpaceDE/>
        <w:autoSpaceDN/>
        <w:adjustRightInd/>
        <w:rPr>
          <w:rFonts w:eastAsia="Times New Roman"/>
          <w:color w:val="000000"/>
        </w:rPr>
      </w:pPr>
    </w:p>
    <w:p w:rsidR="002B0CD6" w:rsidRPr="000E623C" w:rsidRDefault="002B0CD6" w:rsidP="0071682D">
      <w:pPr>
        <w:widowControl/>
        <w:tabs>
          <w:tab w:val="left" w:pos="1440"/>
        </w:tabs>
        <w:autoSpaceDE/>
        <w:autoSpaceDN/>
        <w:adjustRightInd/>
        <w:rPr>
          <w:rFonts w:eastAsia="Times New Roman"/>
          <w:color w:val="000000"/>
        </w:rPr>
      </w:pPr>
    </w:p>
    <w:p w:rsidR="0071682D" w:rsidRPr="000E623C" w:rsidRDefault="0071682D" w:rsidP="0071682D">
      <w:pPr>
        <w:widowControl/>
        <w:tabs>
          <w:tab w:val="left" w:pos="1080"/>
        </w:tabs>
        <w:autoSpaceDE/>
        <w:autoSpaceDN/>
        <w:adjustRightInd/>
        <w:rPr>
          <w:rFonts w:eastAsia="Times New Roman"/>
          <w:b/>
          <w:color w:val="000000"/>
          <w:u w:val="single"/>
        </w:rPr>
      </w:pPr>
      <w:r w:rsidRPr="000E623C">
        <w:rPr>
          <w:rFonts w:eastAsia="Times New Roman"/>
          <w:b/>
          <w:color w:val="000000"/>
          <w:u w:val="single"/>
        </w:rPr>
        <w:t>Criteria for Clinical Faculty</w:t>
      </w:r>
    </w:p>
    <w:p w:rsidR="0071682D" w:rsidRPr="000E623C" w:rsidRDefault="0071682D" w:rsidP="0071682D">
      <w:pPr>
        <w:widowControl/>
        <w:autoSpaceDE/>
        <w:autoSpaceDN/>
        <w:adjustRightInd/>
        <w:rPr>
          <w:rFonts w:eastAsia="Times New Roman"/>
        </w:rPr>
      </w:pPr>
    </w:p>
    <w:p w:rsidR="0071682D" w:rsidRPr="000E623C" w:rsidRDefault="0071682D" w:rsidP="0071682D">
      <w:pPr>
        <w:widowControl/>
        <w:autoSpaceDE/>
        <w:autoSpaceDN/>
        <w:adjustRightInd/>
        <w:rPr>
          <w:rFonts w:eastAsia="Times New Roman"/>
          <w:b/>
        </w:rPr>
      </w:pPr>
      <w:r w:rsidRPr="000E623C">
        <w:rPr>
          <w:rFonts w:eastAsia="Times New Roman"/>
          <w:b/>
        </w:rPr>
        <w:t xml:space="preserve">Assistant to Associate Clinical Professor </w:t>
      </w:r>
    </w:p>
    <w:p w:rsidR="0071682D" w:rsidRPr="000E623C" w:rsidRDefault="0071682D" w:rsidP="0071682D">
      <w:pPr>
        <w:widowControl/>
        <w:autoSpaceDE/>
        <w:autoSpaceDN/>
        <w:adjustRightInd/>
        <w:rPr>
          <w:rFonts w:eastAsia="Times New Roman"/>
        </w:rPr>
      </w:pPr>
      <w:r w:rsidRPr="000E623C">
        <w:rPr>
          <w:rFonts w:eastAsia="Times New Roman"/>
        </w:rPr>
        <w:t xml:space="preserve">In accordance with the job description, candidates for promotion from Assistant to Associate Clinical Professor must demonstrate excellence in day-to-day performance and expertise in all job performance responsibilities.  This might include regular participation in scholarship/professional development, evidence of initiative, demonstrated leadership and managerial capability, and a commitment to service activities as well as teaching. </w:t>
      </w:r>
    </w:p>
    <w:p w:rsidR="0071682D" w:rsidRPr="000E623C" w:rsidRDefault="0071682D" w:rsidP="0071682D">
      <w:pPr>
        <w:widowControl/>
        <w:autoSpaceDE/>
        <w:autoSpaceDN/>
        <w:adjustRightInd/>
        <w:rPr>
          <w:rFonts w:eastAsia="Times New Roman"/>
          <w:b/>
        </w:rPr>
      </w:pPr>
    </w:p>
    <w:p w:rsidR="0071682D" w:rsidRPr="000E623C" w:rsidRDefault="0071682D" w:rsidP="0071682D">
      <w:pPr>
        <w:widowControl/>
        <w:autoSpaceDE/>
        <w:autoSpaceDN/>
        <w:adjustRightInd/>
        <w:rPr>
          <w:rFonts w:eastAsia="Times New Roman"/>
          <w:b/>
        </w:rPr>
      </w:pPr>
      <w:r w:rsidRPr="000E623C">
        <w:rPr>
          <w:rFonts w:eastAsia="Times New Roman"/>
          <w:b/>
        </w:rPr>
        <w:t xml:space="preserve">Associate Clinical Professor to Clinical Professor </w:t>
      </w:r>
    </w:p>
    <w:p w:rsidR="0071682D" w:rsidRPr="000E623C" w:rsidRDefault="0071682D" w:rsidP="0071682D">
      <w:pPr>
        <w:widowControl/>
        <w:autoSpaceDE/>
        <w:autoSpaceDN/>
        <w:adjustRightInd/>
        <w:rPr>
          <w:rFonts w:eastAsia="Times New Roman"/>
        </w:rPr>
      </w:pPr>
      <w:r w:rsidRPr="000E623C">
        <w:rPr>
          <w:rFonts w:eastAsia="Times New Roman"/>
        </w:rPr>
        <w:t>The promotion from Associate Clinical to Clinical Professor is based on the requirements of the job, including significant leadership and exceptional performance and a distinguished and recognized record of contributions. Clinical Professors should have achieved national or international recognition through their scholarship, contributions or service to professional organizations, or similar activities.</w:t>
      </w:r>
    </w:p>
    <w:p w:rsidR="0071682D" w:rsidRPr="000E623C" w:rsidRDefault="0071682D" w:rsidP="0071682D">
      <w:pPr>
        <w:widowControl/>
        <w:tabs>
          <w:tab w:val="left" w:pos="1440"/>
        </w:tabs>
        <w:autoSpaceDE/>
        <w:autoSpaceDN/>
        <w:adjustRightInd/>
        <w:rPr>
          <w:rFonts w:eastAsia="Times New Roman"/>
          <w:b/>
          <w:color w:val="000000"/>
          <w:u w:val="single"/>
        </w:rPr>
      </w:pPr>
    </w:p>
    <w:p w:rsidR="0071682D" w:rsidRPr="000E623C" w:rsidRDefault="0071682D" w:rsidP="0071682D">
      <w:pPr>
        <w:widowControl/>
        <w:tabs>
          <w:tab w:val="left" w:pos="1440"/>
        </w:tabs>
        <w:autoSpaceDE/>
        <w:autoSpaceDN/>
        <w:adjustRightInd/>
        <w:rPr>
          <w:rFonts w:eastAsia="Times New Roman"/>
          <w:b/>
          <w:color w:val="000000"/>
          <w:u w:val="single"/>
        </w:rPr>
      </w:pPr>
    </w:p>
    <w:p w:rsidR="0071682D" w:rsidRPr="000E623C" w:rsidRDefault="0071682D" w:rsidP="0071682D">
      <w:pPr>
        <w:widowControl/>
        <w:tabs>
          <w:tab w:val="left" w:pos="1440"/>
        </w:tabs>
        <w:autoSpaceDE/>
        <w:autoSpaceDN/>
        <w:adjustRightInd/>
        <w:rPr>
          <w:rFonts w:eastAsia="Times New Roman"/>
          <w:b/>
          <w:color w:val="000000"/>
          <w:u w:val="single"/>
        </w:rPr>
      </w:pPr>
      <w:r w:rsidRPr="000E623C">
        <w:rPr>
          <w:rFonts w:eastAsia="Times New Roman"/>
          <w:b/>
          <w:color w:val="000000"/>
          <w:u w:val="single"/>
        </w:rPr>
        <w:t>Criteria for Research Faculty</w:t>
      </w:r>
    </w:p>
    <w:p w:rsidR="002B0CD6" w:rsidRPr="000E623C" w:rsidRDefault="002B0CD6" w:rsidP="0071682D">
      <w:pPr>
        <w:widowControl/>
        <w:tabs>
          <w:tab w:val="left" w:pos="1440"/>
        </w:tabs>
        <w:autoSpaceDE/>
        <w:autoSpaceDN/>
        <w:adjustRightInd/>
        <w:rPr>
          <w:rFonts w:eastAsia="Times New Roman"/>
          <w:color w:val="000000"/>
        </w:rPr>
      </w:pPr>
    </w:p>
    <w:p w:rsidR="002B0CD6" w:rsidRPr="000E623C" w:rsidRDefault="002B0CD6" w:rsidP="0071682D">
      <w:pPr>
        <w:widowControl/>
        <w:tabs>
          <w:tab w:val="left" w:pos="1440"/>
        </w:tabs>
        <w:autoSpaceDE/>
        <w:autoSpaceDN/>
        <w:adjustRightInd/>
        <w:rPr>
          <w:rFonts w:eastAsia="Times New Roman"/>
          <w:b/>
          <w:color w:val="000000"/>
        </w:rPr>
      </w:pPr>
      <w:r w:rsidRPr="000E623C">
        <w:rPr>
          <w:rFonts w:eastAsia="Times New Roman"/>
          <w:b/>
          <w:color w:val="000000"/>
        </w:rPr>
        <w:t>Promotion to Associate Research Professor</w:t>
      </w:r>
    </w:p>
    <w:p w:rsidR="0071682D" w:rsidRPr="000E623C" w:rsidRDefault="0071682D" w:rsidP="0071682D">
      <w:pPr>
        <w:widowControl/>
        <w:tabs>
          <w:tab w:val="left" w:pos="1440"/>
        </w:tabs>
        <w:autoSpaceDE/>
        <w:autoSpaceDN/>
        <w:adjustRightInd/>
        <w:rPr>
          <w:rFonts w:eastAsia="Times New Roman"/>
          <w:color w:val="000000"/>
        </w:rPr>
      </w:pPr>
      <w:r w:rsidRPr="000E623C">
        <w:rPr>
          <w:rFonts w:eastAsia="Times New Roman"/>
          <w:color w:val="000000"/>
        </w:rPr>
        <w:t>In accordance with the duties specified in the job description, candidates for promotion to Associate Research Professor must demonstrate significant and substantial contributions to the research mission of the unit. This might include a record of contributions to research and scholarship through dissemination, publication and the conduct of research activities; contributions to successful grant proposals; and evidence of excellence in mentorship, teaching, or supervision of students or employees as part of the research enterprise.</w:t>
      </w:r>
    </w:p>
    <w:p w:rsidR="0071682D" w:rsidRPr="000E623C" w:rsidRDefault="0071682D" w:rsidP="0071682D">
      <w:pPr>
        <w:widowControl/>
        <w:tabs>
          <w:tab w:val="left" w:pos="1440"/>
        </w:tabs>
        <w:autoSpaceDE/>
        <w:autoSpaceDN/>
        <w:adjustRightInd/>
        <w:rPr>
          <w:rFonts w:eastAsia="Times New Roman"/>
          <w:b/>
          <w:color w:val="000000"/>
        </w:rPr>
      </w:pPr>
    </w:p>
    <w:p w:rsidR="002B0CD6" w:rsidRPr="000E623C" w:rsidRDefault="002B0CD6" w:rsidP="0071682D">
      <w:pPr>
        <w:widowControl/>
        <w:tabs>
          <w:tab w:val="left" w:pos="1440"/>
        </w:tabs>
        <w:autoSpaceDE/>
        <w:autoSpaceDN/>
        <w:adjustRightInd/>
        <w:rPr>
          <w:rFonts w:eastAsia="Times New Roman"/>
          <w:b/>
          <w:color w:val="000000"/>
        </w:rPr>
      </w:pPr>
      <w:r w:rsidRPr="000E623C">
        <w:rPr>
          <w:rFonts w:eastAsia="Times New Roman"/>
          <w:b/>
          <w:color w:val="000000"/>
        </w:rPr>
        <w:t>Promotion to Research Professor</w:t>
      </w:r>
    </w:p>
    <w:p w:rsidR="0071682D" w:rsidRPr="000E623C" w:rsidRDefault="0071682D" w:rsidP="0071682D">
      <w:pPr>
        <w:widowControl/>
        <w:tabs>
          <w:tab w:val="left" w:pos="1440"/>
        </w:tabs>
        <w:autoSpaceDE/>
        <w:autoSpaceDN/>
        <w:adjustRightInd/>
        <w:rPr>
          <w:rFonts w:eastAsia="Times New Roman"/>
          <w:color w:val="000000"/>
        </w:rPr>
      </w:pPr>
      <w:r w:rsidRPr="000E623C">
        <w:rPr>
          <w:rFonts w:eastAsia="Times New Roman"/>
          <w:color w:val="000000"/>
        </w:rPr>
        <w:t>Promotion from Associate Research Professor to Research Professor is based on the job description and a demonstrable case for how the candidate’s leadership has enhanced the research mission of the unit in a substantial way.  This might include a sustained record of scholarly initiative and contributions to the field, leading to nationally or internationally recognized scholarship or expertise; proficiency in the management of a research agenda or team; contributions in gaining external funding; and sustained excellence in mentorship, teaching, and supervision of students and employees in the research enterprise.</w:t>
      </w:r>
    </w:p>
    <w:p w:rsidR="0071682D" w:rsidRPr="000E623C" w:rsidRDefault="0071682D" w:rsidP="0071682D">
      <w:pPr>
        <w:widowControl/>
        <w:tabs>
          <w:tab w:val="left" w:pos="1440"/>
        </w:tabs>
        <w:autoSpaceDE/>
        <w:autoSpaceDN/>
        <w:adjustRightInd/>
        <w:rPr>
          <w:rFonts w:eastAsia="Times New Roman"/>
          <w:b/>
          <w:color w:val="000000"/>
          <w:u w:val="single"/>
        </w:rPr>
      </w:pPr>
    </w:p>
    <w:p w:rsidR="0071682D" w:rsidRPr="000E623C" w:rsidRDefault="0071682D" w:rsidP="0071682D">
      <w:pPr>
        <w:widowControl/>
        <w:tabs>
          <w:tab w:val="left" w:pos="1440"/>
        </w:tabs>
        <w:autoSpaceDE/>
        <w:autoSpaceDN/>
        <w:adjustRightInd/>
        <w:rPr>
          <w:rFonts w:eastAsia="Times New Roman"/>
          <w:b/>
          <w:color w:val="000000"/>
          <w:u w:val="single"/>
        </w:rPr>
      </w:pPr>
    </w:p>
    <w:p w:rsidR="00276D37" w:rsidRPr="000E623C" w:rsidRDefault="00276D37" w:rsidP="0071682D">
      <w:pPr>
        <w:rPr>
          <w:b/>
        </w:rPr>
      </w:pPr>
    </w:p>
    <w:p w:rsidR="0071682D" w:rsidRPr="000E623C" w:rsidRDefault="0071682D" w:rsidP="0071682D">
      <w:pPr>
        <w:rPr>
          <w:b/>
        </w:rPr>
      </w:pPr>
    </w:p>
    <w:sectPr w:rsidR="0071682D" w:rsidRPr="000E623C" w:rsidSect="002B0CD6">
      <w:footerReference w:type="default" r:id="rId7"/>
      <w:pgSz w:w="12230" w:h="15820"/>
      <w:pgMar w:top="1080" w:right="1720" w:bottom="280" w:left="1640" w:header="720" w:footer="720" w:gutter="0"/>
      <w:cols w:space="720" w:equalWidth="0">
        <w:col w:w="887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CE6" w:rsidRDefault="00CE4CE6" w:rsidP="0071682D">
      <w:r>
        <w:separator/>
      </w:r>
    </w:p>
  </w:endnote>
  <w:endnote w:type="continuationSeparator" w:id="0">
    <w:p w:rsidR="00CE4CE6" w:rsidRDefault="00CE4CE6" w:rsidP="0071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CD6" w:rsidRDefault="002B0CD6">
    <w:pPr>
      <w:pStyle w:val="Footer"/>
      <w:jc w:val="right"/>
    </w:pPr>
    <w:r>
      <w:fldChar w:fldCharType="begin"/>
    </w:r>
    <w:r>
      <w:instrText xml:space="preserve"> PAGE   \* MERGEFORMAT </w:instrText>
    </w:r>
    <w:r>
      <w:fldChar w:fldCharType="separate"/>
    </w:r>
    <w:r w:rsidR="000E623C">
      <w:rPr>
        <w:noProof/>
      </w:rPr>
      <w:t>3</w:t>
    </w:r>
    <w:r>
      <w:fldChar w:fldCharType="end"/>
    </w:r>
  </w:p>
  <w:p w:rsidR="0071682D" w:rsidRDefault="007168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CE6" w:rsidRDefault="00CE4CE6" w:rsidP="0071682D">
      <w:r>
        <w:separator/>
      </w:r>
    </w:p>
  </w:footnote>
  <w:footnote w:type="continuationSeparator" w:id="0">
    <w:p w:rsidR="00CE4CE6" w:rsidRDefault="00CE4CE6" w:rsidP="007168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2401" w:hanging="351"/>
      </w:pPr>
      <w:rPr>
        <w:rFonts w:ascii="Times New Roman" w:hAnsi="Times New Roman" w:cs="Times New Roman"/>
        <w:b w:val="0"/>
        <w:bCs w:val="0"/>
        <w:w w:val="98"/>
        <w:sz w:val="23"/>
        <w:szCs w:val="23"/>
      </w:rPr>
    </w:lvl>
    <w:lvl w:ilvl="1">
      <w:numFmt w:val="bullet"/>
      <w:lvlText w:val="•"/>
      <w:lvlJc w:val="left"/>
      <w:pPr>
        <w:ind w:left="3335" w:hanging="351"/>
      </w:pPr>
    </w:lvl>
    <w:lvl w:ilvl="2">
      <w:numFmt w:val="bullet"/>
      <w:lvlText w:val="•"/>
      <w:lvlJc w:val="left"/>
      <w:pPr>
        <w:ind w:left="4270" w:hanging="351"/>
      </w:pPr>
    </w:lvl>
    <w:lvl w:ilvl="3">
      <w:numFmt w:val="bullet"/>
      <w:lvlText w:val="•"/>
      <w:lvlJc w:val="left"/>
      <w:pPr>
        <w:ind w:left="5204" w:hanging="351"/>
      </w:pPr>
    </w:lvl>
    <w:lvl w:ilvl="4">
      <w:numFmt w:val="bullet"/>
      <w:lvlText w:val="•"/>
      <w:lvlJc w:val="left"/>
      <w:pPr>
        <w:ind w:left="6138" w:hanging="351"/>
      </w:pPr>
    </w:lvl>
    <w:lvl w:ilvl="5">
      <w:numFmt w:val="bullet"/>
      <w:lvlText w:val="•"/>
      <w:lvlJc w:val="left"/>
      <w:pPr>
        <w:ind w:left="7073" w:hanging="351"/>
      </w:pPr>
    </w:lvl>
    <w:lvl w:ilvl="6">
      <w:numFmt w:val="bullet"/>
      <w:lvlText w:val="•"/>
      <w:lvlJc w:val="left"/>
      <w:pPr>
        <w:ind w:left="8007" w:hanging="351"/>
      </w:pPr>
    </w:lvl>
    <w:lvl w:ilvl="7">
      <w:numFmt w:val="bullet"/>
      <w:lvlText w:val="•"/>
      <w:lvlJc w:val="left"/>
      <w:pPr>
        <w:ind w:left="8942" w:hanging="351"/>
      </w:pPr>
    </w:lvl>
    <w:lvl w:ilvl="8">
      <w:numFmt w:val="bullet"/>
      <w:lvlText w:val="•"/>
      <w:lvlJc w:val="left"/>
      <w:pPr>
        <w:ind w:left="9876" w:hanging="351"/>
      </w:pPr>
    </w:lvl>
  </w:abstractNum>
  <w:abstractNum w:abstractNumId="1" w15:restartNumberingAfterBreak="0">
    <w:nsid w:val="00000403"/>
    <w:multiLevelType w:val="multilevel"/>
    <w:tmpl w:val="00000886"/>
    <w:lvl w:ilvl="0">
      <w:start w:val="5"/>
      <w:numFmt w:val="lowerLetter"/>
      <w:lvlText w:val="%1."/>
      <w:lvlJc w:val="left"/>
      <w:pPr>
        <w:ind w:left="2729" w:hanging="347"/>
      </w:pPr>
      <w:rPr>
        <w:rFonts w:ascii="Times New Roman" w:hAnsi="Times New Roman" w:cs="Times New Roman"/>
        <w:b w:val="0"/>
        <w:bCs w:val="0"/>
        <w:w w:val="102"/>
        <w:sz w:val="23"/>
        <w:szCs w:val="23"/>
      </w:rPr>
    </w:lvl>
    <w:lvl w:ilvl="1">
      <w:numFmt w:val="bullet"/>
      <w:lvlText w:val="•"/>
      <w:lvlJc w:val="left"/>
      <w:pPr>
        <w:ind w:left="3658" w:hanging="347"/>
      </w:pPr>
    </w:lvl>
    <w:lvl w:ilvl="2">
      <w:numFmt w:val="bullet"/>
      <w:lvlText w:val="•"/>
      <w:lvlJc w:val="left"/>
      <w:pPr>
        <w:ind w:left="4588" w:hanging="347"/>
      </w:pPr>
    </w:lvl>
    <w:lvl w:ilvl="3">
      <w:numFmt w:val="bullet"/>
      <w:lvlText w:val="•"/>
      <w:lvlJc w:val="left"/>
      <w:pPr>
        <w:ind w:left="5518" w:hanging="347"/>
      </w:pPr>
    </w:lvl>
    <w:lvl w:ilvl="4">
      <w:numFmt w:val="bullet"/>
      <w:lvlText w:val="•"/>
      <w:lvlJc w:val="left"/>
      <w:pPr>
        <w:ind w:left="6447" w:hanging="347"/>
      </w:pPr>
    </w:lvl>
    <w:lvl w:ilvl="5">
      <w:numFmt w:val="bullet"/>
      <w:lvlText w:val="•"/>
      <w:lvlJc w:val="left"/>
      <w:pPr>
        <w:ind w:left="7377" w:hanging="347"/>
      </w:pPr>
    </w:lvl>
    <w:lvl w:ilvl="6">
      <w:numFmt w:val="bullet"/>
      <w:lvlText w:val="•"/>
      <w:lvlJc w:val="left"/>
      <w:pPr>
        <w:ind w:left="8307" w:hanging="347"/>
      </w:pPr>
    </w:lvl>
    <w:lvl w:ilvl="7">
      <w:numFmt w:val="bullet"/>
      <w:lvlText w:val="•"/>
      <w:lvlJc w:val="left"/>
      <w:pPr>
        <w:ind w:left="9236" w:hanging="347"/>
      </w:pPr>
    </w:lvl>
    <w:lvl w:ilvl="8">
      <w:numFmt w:val="bullet"/>
      <w:lvlText w:val="•"/>
      <w:lvlJc w:val="left"/>
      <w:pPr>
        <w:ind w:left="10166" w:hanging="347"/>
      </w:pPr>
    </w:lvl>
  </w:abstractNum>
  <w:abstractNum w:abstractNumId="2" w15:restartNumberingAfterBreak="0">
    <w:nsid w:val="00000404"/>
    <w:multiLevelType w:val="multilevel"/>
    <w:tmpl w:val="00000887"/>
    <w:lvl w:ilvl="0">
      <w:start w:val="1"/>
      <w:numFmt w:val="lowerLetter"/>
      <w:lvlText w:val="%1."/>
      <w:lvlJc w:val="left"/>
      <w:pPr>
        <w:ind w:left="2679" w:hanging="276"/>
      </w:pPr>
      <w:rPr>
        <w:rFonts w:ascii="Times New Roman" w:hAnsi="Times New Roman" w:cs="Times New Roman"/>
        <w:b w:val="0"/>
        <w:bCs w:val="0"/>
        <w:w w:val="102"/>
        <w:sz w:val="23"/>
        <w:szCs w:val="23"/>
      </w:rPr>
    </w:lvl>
    <w:lvl w:ilvl="1">
      <w:numFmt w:val="bullet"/>
      <w:lvlText w:val="•"/>
      <w:lvlJc w:val="left"/>
      <w:pPr>
        <w:ind w:left="3614" w:hanging="276"/>
      </w:pPr>
    </w:lvl>
    <w:lvl w:ilvl="2">
      <w:numFmt w:val="bullet"/>
      <w:lvlText w:val="•"/>
      <w:lvlJc w:val="left"/>
      <w:pPr>
        <w:ind w:left="4548" w:hanging="276"/>
      </w:pPr>
    </w:lvl>
    <w:lvl w:ilvl="3">
      <w:numFmt w:val="bullet"/>
      <w:lvlText w:val="•"/>
      <w:lvlJc w:val="left"/>
      <w:pPr>
        <w:ind w:left="5483" w:hanging="276"/>
      </w:pPr>
    </w:lvl>
    <w:lvl w:ilvl="4">
      <w:numFmt w:val="bullet"/>
      <w:lvlText w:val="•"/>
      <w:lvlJc w:val="left"/>
      <w:pPr>
        <w:ind w:left="6417" w:hanging="276"/>
      </w:pPr>
    </w:lvl>
    <w:lvl w:ilvl="5">
      <w:numFmt w:val="bullet"/>
      <w:lvlText w:val="•"/>
      <w:lvlJc w:val="left"/>
      <w:pPr>
        <w:ind w:left="7352" w:hanging="276"/>
      </w:pPr>
    </w:lvl>
    <w:lvl w:ilvl="6">
      <w:numFmt w:val="bullet"/>
      <w:lvlText w:val="•"/>
      <w:lvlJc w:val="left"/>
      <w:pPr>
        <w:ind w:left="8287" w:hanging="276"/>
      </w:pPr>
    </w:lvl>
    <w:lvl w:ilvl="7">
      <w:numFmt w:val="bullet"/>
      <w:lvlText w:val="•"/>
      <w:lvlJc w:val="left"/>
      <w:pPr>
        <w:ind w:left="9221" w:hanging="276"/>
      </w:pPr>
    </w:lvl>
    <w:lvl w:ilvl="8">
      <w:numFmt w:val="bullet"/>
      <w:lvlText w:val="•"/>
      <w:lvlJc w:val="left"/>
      <w:pPr>
        <w:ind w:left="10156" w:hanging="276"/>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37"/>
    <w:rsid w:val="000E623C"/>
    <w:rsid w:val="002130D3"/>
    <w:rsid w:val="00276D37"/>
    <w:rsid w:val="002B0CD6"/>
    <w:rsid w:val="005C7591"/>
    <w:rsid w:val="00610912"/>
    <w:rsid w:val="00712AEA"/>
    <w:rsid w:val="0071682D"/>
    <w:rsid w:val="00822B24"/>
    <w:rsid w:val="00856E4E"/>
    <w:rsid w:val="008767F7"/>
    <w:rsid w:val="008E0E34"/>
    <w:rsid w:val="00992CBD"/>
    <w:rsid w:val="00C57022"/>
    <w:rsid w:val="00CE4CE6"/>
    <w:rsid w:val="00EC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6270AC"/>
  <w14:defaultImageDpi w14:val="0"/>
  <w15:docId w15:val="{2672A41D-4290-4EB2-B8E5-496C5DED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3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681"/>
    </w:pPr>
    <w:rPr>
      <w:sz w:val="23"/>
      <w:szCs w:val="23"/>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682D"/>
    <w:pPr>
      <w:tabs>
        <w:tab w:val="center" w:pos="4680"/>
        <w:tab w:val="right" w:pos="9360"/>
      </w:tabs>
    </w:pPr>
  </w:style>
  <w:style w:type="character" w:customStyle="1" w:styleId="HeaderChar">
    <w:name w:val="Header Char"/>
    <w:basedOn w:val="DefaultParagraphFont"/>
    <w:link w:val="Header"/>
    <w:uiPriority w:val="99"/>
    <w:locked/>
    <w:rsid w:val="0071682D"/>
    <w:rPr>
      <w:rFonts w:ascii="Times New Roman" w:hAnsi="Times New Roman" w:cs="Times New Roman"/>
      <w:sz w:val="24"/>
      <w:szCs w:val="24"/>
    </w:rPr>
  </w:style>
  <w:style w:type="paragraph" w:styleId="Footer">
    <w:name w:val="footer"/>
    <w:basedOn w:val="Normal"/>
    <w:link w:val="FooterChar"/>
    <w:uiPriority w:val="99"/>
    <w:unhideWhenUsed/>
    <w:rsid w:val="0071682D"/>
    <w:pPr>
      <w:tabs>
        <w:tab w:val="center" w:pos="4680"/>
        <w:tab w:val="right" w:pos="9360"/>
      </w:tabs>
    </w:pPr>
  </w:style>
  <w:style w:type="character" w:customStyle="1" w:styleId="FooterChar">
    <w:name w:val="Footer Char"/>
    <w:basedOn w:val="DefaultParagraphFont"/>
    <w:link w:val="Footer"/>
    <w:uiPriority w:val="99"/>
    <w:locked/>
    <w:rsid w:val="0071682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3696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Wyetta Lane</dc:creator>
  <cp:keywords/>
  <dc:description/>
  <cp:lastModifiedBy>Laura Thede (PUBSRV)</cp:lastModifiedBy>
  <cp:revision>2</cp:revision>
  <cp:lastPrinted>2015-12-29T18:44:00Z</cp:lastPrinted>
  <dcterms:created xsi:type="dcterms:W3CDTF">2016-06-07T17:26:00Z</dcterms:created>
  <dcterms:modified xsi:type="dcterms:W3CDTF">2016-06-07T17:26:00Z</dcterms:modified>
</cp:coreProperties>
</file>