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435" w:rsidRDefault="00C638B3">
      <w:pPr>
        <w:pStyle w:val="Heading1"/>
        <w:spacing w:before="79"/>
      </w:pPr>
      <w:bookmarkStart w:id="0" w:name="_GoBack"/>
      <w:bookmarkEnd w:id="0"/>
      <w:r>
        <w:t>College of Liberal Arts &amp; Sciences</w:t>
      </w:r>
    </w:p>
    <w:p w:rsidR="003F5435" w:rsidRDefault="00C638B3">
      <w:pPr>
        <w:spacing w:before="40" w:line="276" w:lineRule="auto"/>
        <w:ind w:left="100" w:right="1527"/>
        <w:rPr>
          <w:b/>
          <w:sz w:val="24"/>
        </w:rPr>
      </w:pPr>
      <w:r>
        <w:rPr>
          <w:b/>
          <w:sz w:val="24"/>
        </w:rPr>
        <w:t>Criteria for promotion of Assistant and Associate Academic Professionals Department of Psychology</w:t>
      </w:r>
    </w:p>
    <w:p w:rsidR="003F5435" w:rsidRDefault="003F5435">
      <w:pPr>
        <w:pStyle w:val="BodyText"/>
        <w:spacing w:before="4"/>
        <w:ind w:left="0"/>
        <w:rPr>
          <w:b/>
          <w:sz w:val="27"/>
        </w:rPr>
      </w:pPr>
    </w:p>
    <w:p w:rsidR="003F5435" w:rsidRDefault="00C638B3">
      <w:pPr>
        <w:pStyle w:val="BodyText"/>
        <w:ind w:left="100"/>
      </w:pPr>
      <w:r>
        <w:t>Approved by the dean on November 20, 2017.</w:t>
      </w:r>
    </w:p>
    <w:p w:rsidR="003F5435" w:rsidRDefault="00C638B3">
      <w:pPr>
        <w:pStyle w:val="BodyText"/>
        <w:spacing w:before="40"/>
        <w:ind w:left="100"/>
      </w:pPr>
      <w:r>
        <w:t>Approved by the faculty of the Department of Psychology on November 30, 2017</w:t>
      </w:r>
    </w:p>
    <w:p w:rsidR="003F5435" w:rsidRDefault="003F5435">
      <w:pPr>
        <w:sectPr w:rsidR="003F5435">
          <w:type w:val="continuous"/>
          <w:pgSz w:w="12240" w:h="15840"/>
          <w:pgMar w:top="1360" w:right="1720" w:bottom="280" w:left="1340" w:header="720" w:footer="720" w:gutter="0"/>
          <w:cols w:space="720"/>
        </w:sectPr>
      </w:pPr>
    </w:p>
    <w:p w:rsidR="003F5435" w:rsidRDefault="00C638B3">
      <w:pPr>
        <w:pStyle w:val="Heading1"/>
        <w:spacing w:before="79" w:line="276" w:lineRule="auto"/>
        <w:ind w:left="959" w:right="958" w:firstLine="1887"/>
      </w:pPr>
      <w:r>
        <w:lastRenderedPageBreak/>
        <w:t>DEPARTMENT OF PSYCHOLOGY PROMOTIONAL EVALUATION CONSIDERATIONS AND</w:t>
      </w:r>
      <w:r>
        <w:rPr>
          <w:spacing w:val="-7"/>
        </w:rPr>
        <w:t xml:space="preserve"> </w:t>
      </w:r>
      <w:r>
        <w:t>CRITERIA</w:t>
      </w:r>
    </w:p>
    <w:p w:rsidR="003F5435" w:rsidRDefault="00C638B3">
      <w:pPr>
        <w:ind w:left="2273"/>
        <w:rPr>
          <w:b/>
          <w:sz w:val="24"/>
        </w:rPr>
      </w:pPr>
      <w:r>
        <w:rPr>
          <w:b/>
          <w:sz w:val="24"/>
        </w:rPr>
        <w:t>FIXED-TERM ACADEMIC PROFESSIONALS</w:t>
      </w:r>
    </w:p>
    <w:p w:rsidR="003F5435" w:rsidRDefault="003F5435">
      <w:pPr>
        <w:pStyle w:val="BodyText"/>
        <w:spacing w:before="9"/>
        <w:ind w:left="0"/>
        <w:rPr>
          <w:b/>
          <w:sz w:val="30"/>
        </w:rPr>
      </w:pPr>
    </w:p>
    <w:p w:rsidR="003F5435" w:rsidRDefault="00C638B3">
      <w:pPr>
        <w:pStyle w:val="BodyText"/>
        <w:spacing w:before="1" w:line="276" w:lineRule="auto"/>
        <w:ind w:left="100" w:right="82"/>
      </w:pPr>
      <w:r>
        <w:t>Heuristic criteria and considerations for evaluations of academic professionals for promotional decisions by the Department of Psych</w:t>
      </w:r>
      <w:r>
        <w:t>ology at Arizona State University (ASU) are presented in this document. ASU employees may engage in or support research, teaching, and service in a variety of capacities and titles. This document addresses departmental promotion criteria, governance, and p</w:t>
      </w:r>
      <w:r>
        <w:t>rocess as they apply to those with Academic Professional titles such as (but not exclusive to) Clinical Professional, Instructional Professional, and Research Professional; a more comprehensive list of Academic Professional titles can be found in the Acade</w:t>
      </w:r>
      <w:r>
        <w:t>mic Affairs Manual (</w:t>
      </w:r>
      <w:hyperlink r:id="rId5">
        <w:r>
          <w:rPr>
            <w:color w:val="0462C1"/>
            <w:u w:val="single" w:color="0462C1"/>
          </w:rPr>
          <w:t>ACD 505-03</w:t>
        </w:r>
      </w:hyperlink>
      <w:r>
        <w:t>).</w:t>
      </w:r>
    </w:p>
    <w:p w:rsidR="003F5435" w:rsidRDefault="00C638B3">
      <w:pPr>
        <w:pStyle w:val="BodyText"/>
        <w:spacing w:before="198" w:line="276" w:lineRule="auto"/>
        <w:ind w:left="100" w:right="162"/>
      </w:pPr>
      <w:r>
        <w:t>Because assigned job responsibilities may vary considerably from Academic Professional to Academic Professional, promotion criteria should be applied in t</w:t>
      </w:r>
      <w:r>
        <w:t>he context of and as appropriate to the job description. Promotion of academic professionals is warranted only when achievements are tangibly demonstrated. Thus, promotion is based neither on promise nor longevity, but on demonstrated excellence.</w:t>
      </w:r>
    </w:p>
    <w:p w:rsidR="003F5435" w:rsidRDefault="003F5435">
      <w:pPr>
        <w:pStyle w:val="BodyText"/>
        <w:ind w:left="0"/>
        <w:rPr>
          <w:sz w:val="26"/>
        </w:rPr>
      </w:pPr>
    </w:p>
    <w:p w:rsidR="003F5435" w:rsidRDefault="003F5435">
      <w:pPr>
        <w:pStyle w:val="BodyText"/>
        <w:spacing w:before="9"/>
        <w:ind w:left="0"/>
        <w:rPr>
          <w:sz w:val="30"/>
        </w:rPr>
      </w:pPr>
    </w:p>
    <w:p w:rsidR="003F5435" w:rsidRDefault="00C638B3">
      <w:pPr>
        <w:pStyle w:val="Heading1"/>
        <w:spacing w:before="1"/>
      </w:pPr>
      <w:r>
        <w:rPr>
          <w:u w:val="thick"/>
        </w:rPr>
        <w:t>General</w:t>
      </w:r>
      <w:r>
        <w:rPr>
          <w:u w:val="thick"/>
        </w:rPr>
        <w:t xml:space="preserve"> Criteria for Promotion of Academic Professionals</w:t>
      </w:r>
    </w:p>
    <w:p w:rsidR="003F5435" w:rsidRDefault="00C638B3">
      <w:pPr>
        <w:pStyle w:val="BodyText"/>
        <w:spacing w:before="137" w:line="259" w:lineRule="auto"/>
        <w:ind w:left="100"/>
      </w:pPr>
      <w:r>
        <w:t>The three areas considered in evaluation of all Academic Professionals seeking promotion are excellence through position effectiveness, professional contributions, and institutional, professional, and community service. Excellence in position effectiveness</w:t>
      </w:r>
      <w:r>
        <w:t xml:space="preserve"> is the paramount criterion.</w:t>
      </w:r>
    </w:p>
    <w:p w:rsidR="003F5435" w:rsidRDefault="00C638B3">
      <w:pPr>
        <w:pStyle w:val="BodyText"/>
        <w:spacing w:before="120" w:line="259" w:lineRule="auto"/>
        <w:ind w:left="100" w:right="109"/>
      </w:pPr>
      <w:r>
        <w:t>After initial appointment in Psychology, each candidate for promotion will be judged primarily on the quality of performance in her/his assigned responsibilities consistent with the appropriate job description and on whether sh</w:t>
      </w:r>
      <w:r>
        <w:t>e/he meets the criteria for the next rank. Criteria for promotion to a higher rank will include sustained superior performance, as well as the accumulation of the necessary experience and knowledge commensurate with advanced rank. Documentation of progress</w:t>
      </w:r>
      <w:r>
        <w:t xml:space="preserve"> toward promotion may include items such as contributions to the advancement or enhancement of their area of responsibility, professional and peer recognition, teaching evaluations (where appropriate to the position), awards, service in professional associ</w:t>
      </w:r>
      <w:r>
        <w:t>ations, and service within the academic community and professional or disciplinary contributions. The case must be made that the candidate is doing more than performing a set of assigned tasks. Rather, the candidate is expected to demonstrate initiative in</w:t>
      </w:r>
      <w:r>
        <w:t xml:space="preserve"> integrating new avenues of professional activity.</w:t>
      </w:r>
    </w:p>
    <w:p w:rsidR="003F5435" w:rsidRDefault="00C638B3">
      <w:pPr>
        <w:pStyle w:val="BodyText"/>
        <w:spacing w:before="120" w:line="259" w:lineRule="auto"/>
        <w:ind w:left="100" w:right="114"/>
        <w:jc w:val="both"/>
      </w:pPr>
      <w:r>
        <w:t>Promotion occurs in sequence from Assistant to Associate and from Associate to Full. Promotion cases are considered according to a schedule determined annually by the Office of the University Provost.</w:t>
      </w:r>
    </w:p>
    <w:p w:rsidR="003F5435" w:rsidRDefault="003F5435">
      <w:pPr>
        <w:spacing w:line="259" w:lineRule="auto"/>
        <w:jc w:val="both"/>
        <w:sectPr w:rsidR="003F5435">
          <w:pgSz w:w="12240" w:h="15840"/>
          <w:pgMar w:top="1360" w:right="1340" w:bottom="280" w:left="1340" w:header="720" w:footer="720" w:gutter="0"/>
          <w:cols w:space="720"/>
        </w:sectPr>
      </w:pPr>
    </w:p>
    <w:p w:rsidR="003F5435" w:rsidRDefault="00C638B3">
      <w:pPr>
        <w:pStyle w:val="Heading1"/>
        <w:spacing w:before="79"/>
      </w:pPr>
      <w:r>
        <w:rPr>
          <w:u w:val="thick"/>
        </w:rPr>
        <w:lastRenderedPageBreak/>
        <w:t xml:space="preserve">Promotion of </w:t>
      </w:r>
      <w:r>
        <w:t>Academic Professionals from Assistant to Associate Rank</w:t>
      </w:r>
    </w:p>
    <w:p w:rsidR="003F5435" w:rsidRDefault="00C638B3">
      <w:pPr>
        <w:pStyle w:val="BodyText"/>
        <w:spacing w:before="177" w:line="259" w:lineRule="auto"/>
        <w:ind w:left="100" w:right="108"/>
      </w:pPr>
      <w:r>
        <w:t>Candidates seeking promotion to the Associate rank must have five years’ in Assistant rank at ASU and may count the year of application for promotion toward this eligibility re</w:t>
      </w:r>
      <w:r>
        <w:t>quirement. Candidates for promotion from Assistant to Associate Academic Professional must demonstrate excellence in position effectiveness, continued professional contributions, and growth and involvement in institutional, professional, or community servi</w:t>
      </w:r>
      <w:r>
        <w:t>ce.</w:t>
      </w:r>
    </w:p>
    <w:p w:rsidR="003F5435" w:rsidRDefault="00C638B3">
      <w:pPr>
        <w:pStyle w:val="BodyText"/>
        <w:spacing w:before="161" w:line="259" w:lineRule="auto"/>
        <w:ind w:left="100" w:right="788"/>
      </w:pPr>
      <w:r>
        <w:t xml:space="preserve">If </w:t>
      </w:r>
      <w:r>
        <w:rPr>
          <w:b/>
        </w:rPr>
        <w:t xml:space="preserve">instruction </w:t>
      </w:r>
      <w:r>
        <w:t>is a significant component of the job description, multiple examples of the following types of accomplishments may serve as suitable promotion criteria:</w:t>
      </w:r>
    </w:p>
    <w:p w:rsidR="003F5435" w:rsidRDefault="00C638B3">
      <w:pPr>
        <w:pStyle w:val="ListParagraph"/>
        <w:numPr>
          <w:ilvl w:val="0"/>
          <w:numId w:val="5"/>
        </w:numPr>
        <w:tabs>
          <w:tab w:val="left" w:pos="1181"/>
        </w:tabs>
        <w:spacing w:before="161" w:line="259" w:lineRule="auto"/>
        <w:ind w:right="518"/>
        <w:rPr>
          <w:sz w:val="24"/>
        </w:rPr>
      </w:pPr>
      <w:r>
        <w:rPr>
          <w:sz w:val="24"/>
        </w:rPr>
        <w:t>A record of significant contributions to teaching, through own effective teaching an</w:t>
      </w:r>
      <w:r>
        <w:rPr>
          <w:sz w:val="24"/>
        </w:rPr>
        <w:t>d/or through the broader support of the Department’s teaching</w:t>
      </w:r>
      <w:r>
        <w:rPr>
          <w:spacing w:val="-12"/>
          <w:sz w:val="24"/>
        </w:rPr>
        <w:t xml:space="preserve"> </w:t>
      </w:r>
      <w:r>
        <w:rPr>
          <w:sz w:val="24"/>
        </w:rPr>
        <w:t>mission</w:t>
      </w:r>
    </w:p>
    <w:p w:rsidR="003F5435" w:rsidRDefault="00C638B3">
      <w:pPr>
        <w:pStyle w:val="ListParagraph"/>
        <w:numPr>
          <w:ilvl w:val="0"/>
          <w:numId w:val="5"/>
        </w:numPr>
        <w:tabs>
          <w:tab w:val="left" w:pos="1181"/>
        </w:tabs>
        <w:spacing w:before="161" w:line="259" w:lineRule="auto"/>
        <w:ind w:right="449"/>
        <w:rPr>
          <w:sz w:val="24"/>
        </w:rPr>
      </w:pPr>
      <w:r>
        <w:rPr>
          <w:sz w:val="24"/>
        </w:rPr>
        <w:t>Contributions to the design, development, and oversight of curriculum in</w:t>
      </w:r>
      <w:r>
        <w:rPr>
          <w:spacing w:val="-15"/>
          <w:sz w:val="24"/>
        </w:rPr>
        <w:t xml:space="preserve"> </w:t>
      </w:r>
      <w:r>
        <w:rPr>
          <w:sz w:val="24"/>
        </w:rPr>
        <w:t>specific courses</w:t>
      </w:r>
    </w:p>
    <w:p w:rsidR="003F5435" w:rsidRDefault="00C638B3">
      <w:pPr>
        <w:pStyle w:val="ListParagraph"/>
        <w:numPr>
          <w:ilvl w:val="0"/>
          <w:numId w:val="5"/>
        </w:numPr>
        <w:tabs>
          <w:tab w:val="left" w:pos="1181"/>
        </w:tabs>
        <w:spacing w:before="158"/>
        <w:rPr>
          <w:sz w:val="24"/>
        </w:rPr>
      </w:pPr>
      <w:r>
        <w:rPr>
          <w:sz w:val="24"/>
        </w:rPr>
        <w:t>Significant involvement in the coordination of curricula in different</w:t>
      </w:r>
      <w:r>
        <w:rPr>
          <w:spacing w:val="-14"/>
          <w:sz w:val="24"/>
        </w:rPr>
        <w:t xml:space="preserve"> </w:t>
      </w:r>
      <w:r>
        <w:rPr>
          <w:sz w:val="24"/>
        </w:rPr>
        <w:t>courses</w:t>
      </w:r>
    </w:p>
    <w:p w:rsidR="003F5435" w:rsidRDefault="00C638B3">
      <w:pPr>
        <w:pStyle w:val="ListParagraph"/>
        <w:numPr>
          <w:ilvl w:val="0"/>
          <w:numId w:val="5"/>
        </w:numPr>
        <w:tabs>
          <w:tab w:val="left" w:pos="1181"/>
        </w:tabs>
        <w:spacing w:before="182"/>
        <w:rPr>
          <w:sz w:val="24"/>
        </w:rPr>
      </w:pPr>
      <w:r>
        <w:rPr>
          <w:sz w:val="24"/>
        </w:rPr>
        <w:t>Demonstrated bread</w:t>
      </w:r>
      <w:r>
        <w:rPr>
          <w:sz w:val="24"/>
        </w:rPr>
        <w:t>th and versatility of teaching in a range of</w:t>
      </w:r>
      <w:r>
        <w:rPr>
          <w:spacing w:val="-16"/>
          <w:sz w:val="24"/>
        </w:rPr>
        <w:t xml:space="preserve"> </w:t>
      </w:r>
      <w:r>
        <w:rPr>
          <w:sz w:val="24"/>
        </w:rPr>
        <w:t>courses</w:t>
      </w:r>
    </w:p>
    <w:p w:rsidR="003F5435" w:rsidRDefault="00C638B3">
      <w:pPr>
        <w:pStyle w:val="ListParagraph"/>
        <w:numPr>
          <w:ilvl w:val="0"/>
          <w:numId w:val="5"/>
        </w:numPr>
        <w:tabs>
          <w:tab w:val="left" w:pos="1181"/>
        </w:tabs>
        <w:spacing w:before="182" w:line="259" w:lineRule="auto"/>
        <w:ind w:right="117"/>
        <w:rPr>
          <w:sz w:val="24"/>
        </w:rPr>
      </w:pPr>
      <w:r>
        <w:rPr>
          <w:sz w:val="24"/>
        </w:rPr>
        <w:t>Involvement in professional development activities that reflect substantial</w:t>
      </w:r>
      <w:r>
        <w:rPr>
          <w:spacing w:val="-16"/>
          <w:sz w:val="24"/>
        </w:rPr>
        <w:t xml:space="preserve"> </w:t>
      </w:r>
      <w:r>
        <w:rPr>
          <w:sz w:val="24"/>
        </w:rPr>
        <w:t>awareness of the evolution of knowledge and curriculum in the</w:t>
      </w:r>
      <w:r>
        <w:rPr>
          <w:spacing w:val="-8"/>
          <w:sz w:val="24"/>
        </w:rPr>
        <w:t xml:space="preserve"> </w:t>
      </w:r>
      <w:r>
        <w:rPr>
          <w:sz w:val="24"/>
        </w:rPr>
        <w:t>discipline</w:t>
      </w:r>
    </w:p>
    <w:p w:rsidR="003F5435" w:rsidRDefault="003F5435">
      <w:pPr>
        <w:pStyle w:val="BodyText"/>
        <w:ind w:left="0"/>
        <w:rPr>
          <w:sz w:val="26"/>
        </w:rPr>
      </w:pPr>
    </w:p>
    <w:p w:rsidR="003F5435" w:rsidRDefault="003F5435">
      <w:pPr>
        <w:pStyle w:val="BodyText"/>
        <w:spacing w:before="10"/>
        <w:ind w:left="0"/>
        <w:rPr>
          <w:sz w:val="27"/>
        </w:rPr>
      </w:pPr>
    </w:p>
    <w:p w:rsidR="003F5435" w:rsidRDefault="00C638B3">
      <w:pPr>
        <w:pStyle w:val="BodyText"/>
        <w:spacing w:line="259" w:lineRule="auto"/>
        <w:ind w:left="100"/>
      </w:pPr>
      <w:r>
        <w:t xml:space="preserve">If </w:t>
      </w:r>
      <w:r>
        <w:rPr>
          <w:b/>
        </w:rPr>
        <w:t xml:space="preserve">research </w:t>
      </w:r>
      <w:r>
        <w:t>is a significant component of the job description, a case for promotion should demonstrate how the candidate has significantly and substantially enhanced the Department’s research mission. Multiple examples of the following types of accomplishments may ser</w:t>
      </w:r>
      <w:r>
        <w:t>ve as suitable promotion criteria:</w:t>
      </w:r>
    </w:p>
    <w:p w:rsidR="003F5435" w:rsidRDefault="00C638B3">
      <w:pPr>
        <w:pStyle w:val="ListParagraph"/>
        <w:numPr>
          <w:ilvl w:val="0"/>
          <w:numId w:val="4"/>
        </w:numPr>
        <w:tabs>
          <w:tab w:val="left" w:pos="1181"/>
        </w:tabs>
        <w:spacing w:before="161" w:line="259" w:lineRule="auto"/>
        <w:ind w:right="207"/>
        <w:rPr>
          <w:sz w:val="24"/>
        </w:rPr>
      </w:pPr>
      <w:r>
        <w:rPr>
          <w:sz w:val="24"/>
        </w:rPr>
        <w:t>Demonstrated development of expertise in the area(s) of assignment consistent</w:t>
      </w:r>
      <w:r>
        <w:rPr>
          <w:spacing w:val="-11"/>
          <w:sz w:val="24"/>
        </w:rPr>
        <w:t xml:space="preserve"> </w:t>
      </w:r>
      <w:r>
        <w:rPr>
          <w:sz w:val="24"/>
        </w:rPr>
        <w:t>with the job</w:t>
      </w:r>
      <w:r>
        <w:rPr>
          <w:spacing w:val="-4"/>
          <w:sz w:val="24"/>
        </w:rPr>
        <w:t xml:space="preserve"> </w:t>
      </w:r>
      <w:r>
        <w:rPr>
          <w:sz w:val="24"/>
        </w:rPr>
        <w:t>description</w:t>
      </w:r>
    </w:p>
    <w:p w:rsidR="003F5435" w:rsidRDefault="00C638B3">
      <w:pPr>
        <w:pStyle w:val="ListParagraph"/>
        <w:numPr>
          <w:ilvl w:val="0"/>
          <w:numId w:val="4"/>
        </w:numPr>
        <w:tabs>
          <w:tab w:val="left" w:pos="1181"/>
        </w:tabs>
        <w:spacing w:before="161" w:line="259" w:lineRule="auto"/>
        <w:ind w:right="288"/>
        <w:rPr>
          <w:sz w:val="24"/>
        </w:rPr>
      </w:pPr>
      <w:r>
        <w:rPr>
          <w:sz w:val="24"/>
        </w:rPr>
        <w:t>Demonstrated effectiveness in the management and implementation of research programs, such as day-to-day management of</w:t>
      </w:r>
      <w:r>
        <w:rPr>
          <w:sz w:val="24"/>
        </w:rPr>
        <w:t xml:space="preserve"> grant activities, budget</w:t>
      </w:r>
      <w:r>
        <w:rPr>
          <w:spacing w:val="-15"/>
          <w:sz w:val="24"/>
        </w:rPr>
        <w:t xml:space="preserve"> </w:t>
      </w:r>
      <w:r>
        <w:rPr>
          <w:sz w:val="24"/>
        </w:rPr>
        <w:t>management, and staff</w:t>
      </w:r>
      <w:r>
        <w:rPr>
          <w:spacing w:val="-6"/>
          <w:sz w:val="24"/>
        </w:rPr>
        <w:t xml:space="preserve"> </w:t>
      </w:r>
      <w:r>
        <w:rPr>
          <w:sz w:val="24"/>
        </w:rPr>
        <w:t>training.</w:t>
      </w:r>
    </w:p>
    <w:p w:rsidR="003F5435" w:rsidRDefault="00C638B3">
      <w:pPr>
        <w:pStyle w:val="ListParagraph"/>
        <w:numPr>
          <w:ilvl w:val="0"/>
          <w:numId w:val="4"/>
        </w:numPr>
        <w:tabs>
          <w:tab w:val="left" w:pos="1181"/>
        </w:tabs>
        <w:spacing w:before="158" w:line="259" w:lineRule="auto"/>
        <w:ind w:right="379"/>
        <w:rPr>
          <w:sz w:val="24"/>
        </w:rPr>
      </w:pPr>
      <w:r>
        <w:rPr>
          <w:sz w:val="24"/>
        </w:rPr>
        <w:t>Significant contributions to the preparation of successful grant proposals, refereed scholarly manuscripts, and/or presentations/posters at national or international conferences</w:t>
      </w:r>
    </w:p>
    <w:p w:rsidR="003F5435" w:rsidRDefault="00C638B3">
      <w:pPr>
        <w:pStyle w:val="ListParagraph"/>
        <w:numPr>
          <w:ilvl w:val="0"/>
          <w:numId w:val="4"/>
        </w:numPr>
        <w:tabs>
          <w:tab w:val="left" w:pos="1181"/>
        </w:tabs>
        <w:spacing w:before="158" w:line="261" w:lineRule="auto"/>
        <w:ind w:right="379"/>
        <w:rPr>
          <w:sz w:val="24"/>
        </w:rPr>
      </w:pPr>
      <w:r>
        <w:rPr>
          <w:sz w:val="24"/>
        </w:rPr>
        <w:t>Evidence of excellen</w:t>
      </w:r>
      <w:r>
        <w:rPr>
          <w:sz w:val="24"/>
        </w:rPr>
        <w:t>ce in mentorship, teaching, or supervision of undergraduates, graduate students, or employees whose work is essential to the research</w:t>
      </w:r>
      <w:r>
        <w:rPr>
          <w:spacing w:val="-14"/>
          <w:sz w:val="24"/>
        </w:rPr>
        <w:t xml:space="preserve"> </w:t>
      </w:r>
      <w:r>
        <w:rPr>
          <w:sz w:val="24"/>
        </w:rPr>
        <w:t>enterprise</w:t>
      </w:r>
    </w:p>
    <w:p w:rsidR="003F5435" w:rsidRDefault="003F5435">
      <w:pPr>
        <w:pStyle w:val="BodyText"/>
        <w:ind w:left="0"/>
        <w:rPr>
          <w:sz w:val="26"/>
        </w:rPr>
      </w:pPr>
    </w:p>
    <w:p w:rsidR="003F5435" w:rsidRDefault="003F5435">
      <w:pPr>
        <w:pStyle w:val="BodyText"/>
        <w:spacing w:before="5"/>
        <w:ind w:left="0"/>
        <w:rPr>
          <w:sz w:val="27"/>
        </w:rPr>
      </w:pPr>
    </w:p>
    <w:p w:rsidR="003F5435" w:rsidRDefault="00C638B3">
      <w:pPr>
        <w:pStyle w:val="BodyText"/>
        <w:spacing w:line="259" w:lineRule="auto"/>
        <w:ind w:left="100" w:right="935"/>
      </w:pPr>
      <w:r>
        <w:t xml:space="preserve">If </w:t>
      </w:r>
      <w:r>
        <w:rPr>
          <w:b/>
        </w:rPr>
        <w:t xml:space="preserve">service </w:t>
      </w:r>
      <w:r>
        <w:t>is a significant component of the job description, multiple examples from the following types of a</w:t>
      </w:r>
      <w:r>
        <w:t>ccomplishments may serve as suitable promotion criteria:</w:t>
      </w:r>
    </w:p>
    <w:p w:rsidR="003F5435" w:rsidRDefault="003F5435">
      <w:pPr>
        <w:spacing w:line="259" w:lineRule="auto"/>
        <w:sectPr w:rsidR="003F5435">
          <w:pgSz w:w="12240" w:h="15840"/>
          <w:pgMar w:top="1360" w:right="1460" w:bottom="280" w:left="1340" w:header="720" w:footer="720" w:gutter="0"/>
          <w:cols w:space="720"/>
        </w:sectPr>
      </w:pPr>
    </w:p>
    <w:p w:rsidR="003F5435" w:rsidRDefault="00C638B3">
      <w:pPr>
        <w:pStyle w:val="ListParagraph"/>
        <w:numPr>
          <w:ilvl w:val="0"/>
          <w:numId w:val="3"/>
        </w:numPr>
        <w:tabs>
          <w:tab w:val="left" w:pos="1181"/>
        </w:tabs>
        <w:spacing w:before="74" w:line="259" w:lineRule="auto"/>
        <w:ind w:right="1151"/>
        <w:rPr>
          <w:sz w:val="24"/>
        </w:rPr>
      </w:pPr>
      <w:r>
        <w:rPr>
          <w:sz w:val="24"/>
        </w:rPr>
        <w:lastRenderedPageBreak/>
        <w:t>Significant involvement in departmental, institutional, professional, and/or community service work as</w:t>
      </w:r>
      <w:r>
        <w:rPr>
          <w:spacing w:val="-8"/>
          <w:sz w:val="24"/>
        </w:rPr>
        <w:t xml:space="preserve"> </w:t>
      </w:r>
      <w:r>
        <w:rPr>
          <w:sz w:val="24"/>
        </w:rPr>
        <w:t>appropriate.</w:t>
      </w:r>
    </w:p>
    <w:p w:rsidR="003F5435" w:rsidRDefault="00C638B3">
      <w:pPr>
        <w:pStyle w:val="ListParagraph"/>
        <w:numPr>
          <w:ilvl w:val="0"/>
          <w:numId w:val="3"/>
        </w:numPr>
        <w:tabs>
          <w:tab w:val="left" w:pos="1181"/>
        </w:tabs>
        <w:spacing w:line="259" w:lineRule="auto"/>
        <w:ind w:right="927"/>
        <w:rPr>
          <w:sz w:val="24"/>
        </w:rPr>
      </w:pPr>
      <w:r>
        <w:rPr>
          <w:sz w:val="24"/>
        </w:rPr>
        <w:t>A record of excellence in the management of activities used in support of the department’s instructional or research</w:t>
      </w:r>
      <w:r>
        <w:rPr>
          <w:spacing w:val="-7"/>
          <w:sz w:val="24"/>
        </w:rPr>
        <w:t xml:space="preserve"> </w:t>
      </w:r>
      <w:r>
        <w:rPr>
          <w:sz w:val="24"/>
        </w:rPr>
        <w:t>missions</w:t>
      </w:r>
    </w:p>
    <w:p w:rsidR="003F5435" w:rsidRDefault="00C638B3">
      <w:pPr>
        <w:pStyle w:val="ListParagraph"/>
        <w:numPr>
          <w:ilvl w:val="0"/>
          <w:numId w:val="3"/>
        </w:numPr>
        <w:tabs>
          <w:tab w:val="left" w:pos="1181"/>
        </w:tabs>
        <w:rPr>
          <w:sz w:val="24"/>
        </w:rPr>
      </w:pPr>
      <w:r>
        <w:rPr>
          <w:sz w:val="24"/>
        </w:rPr>
        <w:t>Evidence of effective outreach to K-12 schools or the general</w:t>
      </w:r>
      <w:r>
        <w:rPr>
          <w:spacing w:val="-9"/>
          <w:sz w:val="24"/>
        </w:rPr>
        <w:t xml:space="preserve"> </w:t>
      </w:r>
      <w:r>
        <w:rPr>
          <w:sz w:val="24"/>
        </w:rPr>
        <w:t>public</w:t>
      </w:r>
    </w:p>
    <w:p w:rsidR="003F5435" w:rsidRDefault="00C638B3">
      <w:pPr>
        <w:pStyle w:val="ListParagraph"/>
        <w:numPr>
          <w:ilvl w:val="0"/>
          <w:numId w:val="3"/>
        </w:numPr>
        <w:tabs>
          <w:tab w:val="left" w:pos="1181"/>
        </w:tabs>
        <w:spacing w:before="179" w:line="261" w:lineRule="auto"/>
        <w:ind w:right="374"/>
        <w:rPr>
          <w:sz w:val="24"/>
        </w:rPr>
      </w:pPr>
      <w:r>
        <w:rPr>
          <w:sz w:val="24"/>
        </w:rPr>
        <w:t>Demonstrated superior management of instrumentation or equipm</w:t>
      </w:r>
      <w:r>
        <w:rPr>
          <w:sz w:val="24"/>
        </w:rPr>
        <w:t>ent facilities</w:t>
      </w:r>
      <w:r>
        <w:rPr>
          <w:spacing w:val="-11"/>
          <w:sz w:val="24"/>
        </w:rPr>
        <w:t xml:space="preserve"> </w:t>
      </w:r>
      <w:r>
        <w:rPr>
          <w:sz w:val="24"/>
        </w:rPr>
        <w:t>that support the research, instructional, or outreach missions of the</w:t>
      </w:r>
      <w:r>
        <w:rPr>
          <w:spacing w:val="-7"/>
          <w:sz w:val="24"/>
        </w:rPr>
        <w:t xml:space="preserve"> </w:t>
      </w:r>
      <w:r>
        <w:rPr>
          <w:sz w:val="24"/>
        </w:rPr>
        <w:t>department</w:t>
      </w:r>
    </w:p>
    <w:p w:rsidR="003F5435" w:rsidRDefault="003F5435">
      <w:pPr>
        <w:pStyle w:val="BodyText"/>
        <w:ind w:left="0"/>
        <w:rPr>
          <w:sz w:val="26"/>
        </w:rPr>
      </w:pPr>
    </w:p>
    <w:p w:rsidR="003F5435" w:rsidRDefault="003F5435">
      <w:pPr>
        <w:pStyle w:val="BodyText"/>
        <w:spacing w:before="9"/>
        <w:ind w:left="0"/>
        <w:rPr>
          <w:sz w:val="27"/>
        </w:rPr>
      </w:pPr>
    </w:p>
    <w:p w:rsidR="003F5435" w:rsidRDefault="00C638B3">
      <w:pPr>
        <w:pStyle w:val="Heading1"/>
      </w:pPr>
      <w:r>
        <w:t>Promotion of Academic Professional from Associate to Full Rank</w:t>
      </w:r>
    </w:p>
    <w:p w:rsidR="003F5435" w:rsidRDefault="00C638B3">
      <w:pPr>
        <w:pStyle w:val="BodyText"/>
        <w:spacing w:before="177" w:line="259" w:lineRule="auto"/>
        <w:ind w:left="100" w:right="162"/>
      </w:pPr>
      <w:r>
        <w:t>The term “Full” is not usually stated, but it is used to designate the highest rank of an Acade</w:t>
      </w:r>
      <w:r>
        <w:t xml:space="preserve">mic Professional title. For promotion to the highest rank of an academic title, candidates must demonstrate a substantial and sustained record of excellent performance, continued professional contributions, and evidence of continued growth and involvement </w:t>
      </w:r>
      <w:r>
        <w:t>in professional, institutional, or community service since the last promotion. The majority of that service should be at ASU.</w:t>
      </w:r>
    </w:p>
    <w:p w:rsidR="003F5435" w:rsidRDefault="00C638B3">
      <w:pPr>
        <w:pStyle w:val="BodyText"/>
        <w:spacing w:before="160" w:line="259" w:lineRule="auto"/>
        <w:ind w:left="100" w:right="848"/>
      </w:pPr>
      <w:r>
        <w:t xml:space="preserve">If </w:t>
      </w:r>
      <w:r>
        <w:rPr>
          <w:b/>
        </w:rPr>
        <w:t xml:space="preserve">instruction </w:t>
      </w:r>
      <w:r>
        <w:t xml:space="preserve">is a significant component of the job description, multiple examples of the following types of accomplishments may </w:t>
      </w:r>
      <w:r>
        <w:t>serve as suitable promotion criteria:</w:t>
      </w:r>
    </w:p>
    <w:p w:rsidR="003F5435" w:rsidRDefault="00C638B3">
      <w:pPr>
        <w:pStyle w:val="ListParagraph"/>
        <w:numPr>
          <w:ilvl w:val="1"/>
          <w:numId w:val="3"/>
        </w:numPr>
        <w:tabs>
          <w:tab w:val="left" w:pos="1541"/>
        </w:tabs>
        <w:spacing w:line="259" w:lineRule="auto"/>
        <w:ind w:right="713"/>
        <w:rPr>
          <w:sz w:val="24"/>
        </w:rPr>
      </w:pPr>
      <w:r>
        <w:rPr>
          <w:sz w:val="24"/>
        </w:rPr>
        <w:t>A sustained record of excellence and versatility in the classroom, as well as leadership in the design, development, and oversight of curriculum in the discipline</w:t>
      </w:r>
    </w:p>
    <w:p w:rsidR="003F5435" w:rsidRDefault="00C638B3">
      <w:pPr>
        <w:pStyle w:val="ListParagraph"/>
        <w:numPr>
          <w:ilvl w:val="1"/>
          <w:numId w:val="3"/>
        </w:numPr>
        <w:tabs>
          <w:tab w:val="left" w:pos="1541"/>
        </w:tabs>
        <w:rPr>
          <w:sz w:val="24"/>
        </w:rPr>
      </w:pPr>
      <w:r>
        <w:rPr>
          <w:sz w:val="24"/>
        </w:rPr>
        <w:t>Demonstrated proficiency in the management of specific</w:t>
      </w:r>
      <w:r>
        <w:rPr>
          <w:spacing w:val="-14"/>
          <w:sz w:val="24"/>
        </w:rPr>
        <w:t xml:space="preserve"> </w:t>
      </w:r>
      <w:r>
        <w:rPr>
          <w:sz w:val="24"/>
        </w:rPr>
        <w:t>courses</w:t>
      </w:r>
    </w:p>
    <w:p w:rsidR="003F5435" w:rsidRDefault="00C638B3">
      <w:pPr>
        <w:pStyle w:val="ListParagraph"/>
        <w:numPr>
          <w:ilvl w:val="1"/>
          <w:numId w:val="3"/>
        </w:numPr>
        <w:tabs>
          <w:tab w:val="left" w:pos="1541"/>
        </w:tabs>
        <w:spacing w:before="182" w:line="259" w:lineRule="auto"/>
        <w:ind w:right="682"/>
        <w:rPr>
          <w:sz w:val="24"/>
        </w:rPr>
      </w:pPr>
      <w:r>
        <w:rPr>
          <w:sz w:val="24"/>
        </w:rPr>
        <w:t>Documented participation in national or international discourse on</w:t>
      </w:r>
      <w:r>
        <w:rPr>
          <w:spacing w:val="-12"/>
          <w:sz w:val="24"/>
        </w:rPr>
        <w:t xml:space="preserve"> </w:t>
      </w:r>
      <w:r>
        <w:rPr>
          <w:sz w:val="24"/>
        </w:rPr>
        <w:t>evolving knowledge in the field, curricular developments, and teaching</w:t>
      </w:r>
      <w:r>
        <w:rPr>
          <w:spacing w:val="-15"/>
          <w:sz w:val="24"/>
        </w:rPr>
        <w:t xml:space="preserve"> </w:t>
      </w:r>
      <w:r>
        <w:rPr>
          <w:sz w:val="24"/>
        </w:rPr>
        <w:t>techniques</w:t>
      </w:r>
    </w:p>
    <w:p w:rsidR="003F5435" w:rsidRDefault="00C638B3">
      <w:pPr>
        <w:pStyle w:val="ListParagraph"/>
        <w:numPr>
          <w:ilvl w:val="1"/>
          <w:numId w:val="3"/>
        </w:numPr>
        <w:tabs>
          <w:tab w:val="left" w:pos="1541"/>
        </w:tabs>
        <w:spacing w:before="159" w:line="261" w:lineRule="auto"/>
        <w:ind w:right="369"/>
        <w:rPr>
          <w:sz w:val="24"/>
        </w:rPr>
      </w:pPr>
      <w:r>
        <w:rPr>
          <w:sz w:val="24"/>
        </w:rPr>
        <w:t>Participation in the solicitation or administration of external funding to support teaching</w:t>
      </w:r>
      <w:r>
        <w:rPr>
          <w:spacing w:val="-6"/>
          <w:sz w:val="24"/>
        </w:rPr>
        <w:t xml:space="preserve"> </w:t>
      </w:r>
      <w:r>
        <w:rPr>
          <w:sz w:val="24"/>
        </w:rPr>
        <w:t>initiatives</w:t>
      </w:r>
    </w:p>
    <w:p w:rsidR="003F5435" w:rsidRDefault="00C638B3">
      <w:pPr>
        <w:pStyle w:val="ListParagraph"/>
        <w:numPr>
          <w:ilvl w:val="1"/>
          <w:numId w:val="3"/>
        </w:numPr>
        <w:tabs>
          <w:tab w:val="left" w:pos="1541"/>
        </w:tabs>
        <w:spacing w:before="156" w:line="259" w:lineRule="auto"/>
        <w:ind w:right="290"/>
        <w:rPr>
          <w:sz w:val="24"/>
        </w:rPr>
      </w:pPr>
      <w:r>
        <w:rPr>
          <w:sz w:val="24"/>
        </w:rPr>
        <w:t>Sustained excellence in the mentorship of other teachers, including graduate assistants, other academic professionals, faculty members, or other</w:t>
      </w:r>
      <w:r>
        <w:rPr>
          <w:spacing w:val="-15"/>
          <w:sz w:val="24"/>
        </w:rPr>
        <w:t xml:space="preserve"> </w:t>
      </w:r>
      <w:r>
        <w:rPr>
          <w:sz w:val="24"/>
        </w:rPr>
        <w:t>instructional staff</w:t>
      </w:r>
    </w:p>
    <w:p w:rsidR="003F5435" w:rsidRDefault="00C638B3">
      <w:pPr>
        <w:pStyle w:val="ListParagraph"/>
        <w:numPr>
          <w:ilvl w:val="1"/>
          <w:numId w:val="3"/>
        </w:numPr>
        <w:tabs>
          <w:tab w:val="left" w:pos="1540"/>
          <w:tab w:val="left" w:pos="1541"/>
        </w:tabs>
        <w:spacing w:before="161" w:line="259" w:lineRule="auto"/>
        <w:ind w:right="443"/>
        <w:rPr>
          <w:sz w:val="24"/>
        </w:rPr>
      </w:pPr>
      <w:r>
        <w:rPr>
          <w:sz w:val="24"/>
        </w:rPr>
        <w:t>Substantive involvement in interdisciplinary teaching efforts or other forms of</w:t>
      </w:r>
      <w:r>
        <w:rPr>
          <w:sz w:val="24"/>
        </w:rPr>
        <w:t xml:space="preserve"> collaboration or articulation, especially those involving other university departments, community colleges, or high</w:t>
      </w:r>
      <w:r>
        <w:rPr>
          <w:spacing w:val="-9"/>
          <w:sz w:val="24"/>
        </w:rPr>
        <w:t xml:space="preserve"> </w:t>
      </w:r>
      <w:r>
        <w:rPr>
          <w:sz w:val="24"/>
        </w:rPr>
        <w:t>schools</w:t>
      </w:r>
    </w:p>
    <w:p w:rsidR="003F5435" w:rsidRDefault="003F5435">
      <w:pPr>
        <w:pStyle w:val="BodyText"/>
        <w:ind w:left="0"/>
        <w:rPr>
          <w:sz w:val="26"/>
        </w:rPr>
      </w:pPr>
    </w:p>
    <w:p w:rsidR="003F5435" w:rsidRDefault="003F5435">
      <w:pPr>
        <w:pStyle w:val="BodyText"/>
        <w:spacing w:before="9"/>
        <w:ind w:left="0"/>
        <w:rPr>
          <w:sz w:val="27"/>
        </w:rPr>
      </w:pPr>
    </w:p>
    <w:p w:rsidR="003F5435" w:rsidRDefault="00C638B3">
      <w:pPr>
        <w:pStyle w:val="BodyText"/>
        <w:spacing w:line="259" w:lineRule="auto"/>
        <w:ind w:left="100"/>
      </w:pPr>
      <w:r>
        <w:t xml:space="preserve">If </w:t>
      </w:r>
      <w:r>
        <w:rPr>
          <w:b/>
        </w:rPr>
        <w:t xml:space="preserve">research </w:t>
      </w:r>
      <w:r>
        <w:t>is a significant component of the job description, multiple examples of the following types of accomplishments may se</w:t>
      </w:r>
      <w:r>
        <w:t>rve as suitable promotion criteria:</w:t>
      </w:r>
    </w:p>
    <w:p w:rsidR="003F5435" w:rsidRDefault="003F5435">
      <w:pPr>
        <w:spacing w:line="259" w:lineRule="auto"/>
        <w:sectPr w:rsidR="003F5435">
          <w:pgSz w:w="12240" w:h="15840"/>
          <w:pgMar w:top="1360" w:right="1400" w:bottom="280" w:left="1340" w:header="720" w:footer="720" w:gutter="0"/>
          <w:cols w:space="720"/>
        </w:sectPr>
      </w:pPr>
    </w:p>
    <w:p w:rsidR="003F5435" w:rsidRDefault="00C638B3">
      <w:pPr>
        <w:pStyle w:val="ListParagraph"/>
        <w:numPr>
          <w:ilvl w:val="0"/>
          <w:numId w:val="2"/>
        </w:numPr>
        <w:tabs>
          <w:tab w:val="left" w:pos="1181"/>
        </w:tabs>
        <w:spacing w:before="74" w:line="259" w:lineRule="auto"/>
        <w:ind w:right="1089"/>
        <w:rPr>
          <w:sz w:val="24"/>
        </w:rPr>
      </w:pPr>
      <w:r>
        <w:rPr>
          <w:sz w:val="24"/>
        </w:rPr>
        <w:lastRenderedPageBreak/>
        <w:t>A sustained record of effective leadership in the creation, management,</w:t>
      </w:r>
      <w:r>
        <w:rPr>
          <w:spacing w:val="-11"/>
          <w:sz w:val="24"/>
        </w:rPr>
        <w:t xml:space="preserve"> </w:t>
      </w:r>
      <w:r>
        <w:rPr>
          <w:sz w:val="24"/>
        </w:rPr>
        <w:t>and implementation of research</w:t>
      </w:r>
      <w:r>
        <w:rPr>
          <w:spacing w:val="-8"/>
          <w:sz w:val="24"/>
        </w:rPr>
        <w:t xml:space="preserve"> </w:t>
      </w:r>
      <w:r>
        <w:rPr>
          <w:sz w:val="24"/>
        </w:rPr>
        <w:t>programs</w:t>
      </w:r>
    </w:p>
    <w:p w:rsidR="003F5435" w:rsidRDefault="00C638B3">
      <w:pPr>
        <w:pStyle w:val="ListParagraph"/>
        <w:numPr>
          <w:ilvl w:val="0"/>
          <w:numId w:val="2"/>
        </w:numPr>
        <w:tabs>
          <w:tab w:val="left" w:pos="1181"/>
        </w:tabs>
        <w:rPr>
          <w:sz w:val="24"/>
        </w:rPr>
      </w:pPr>
      <w:r>
        <w:rPr>
          <w:sz w:val="24"/>
        </w:rPr>
        <w:t>A sustained record of scholarly initiative and recognized contributions to their</w:t>
      </w:r>
      <w:r>
        <w:rPr>
          <w:spacing w:val="-18"/>
          <w:sz w:val="24"/>
        </w:rPr>
        <w:t xml:space="preserve"> </w:t>
      </w:r>
      <w:r>
        <w:rPr>
          <w:sz w:val="24"/>
        </w:rPr>
        <w:t>fields</w:t>
      </w:r>
    </w:p>
    <w:p w:rsidR="003F5435" w:rsidRDefault="00C638B3">
      <w:pPr>
        <w:pStyle w:val="ListParagraph"/>
        <w:numPr>
          <w:ilvl w:val="0"/>
          <w:numId w:val="2"/>
        </w:numPr>
        <w:tabs>
          <w:tab w:val="left" w:pos="1181"/>
        </w:tabs>
        <w:spacing w:before="182" w:line="259" w:lineRule="auto"/>
        <w:ind w:right="109"/>
        <w:rPr>
          <w:sz w:val="24"/>
        </w:rPr>
      </w:pPr>
      <w:r>
        <w:rPr>
          <w:sz w:val="24"/>
        </w:rPr>
        <w:t>Distinctiv</w:t>
      </w:r>
      <w:r>
        <w:rPr>
          <w:sz w:val="24"/>
        </w:rPr>
        <w:t>e contributions to nationally or internationally recognized scholarship or evidence of nationally or internationally recognized expertise, such as first</w:t>
      </w:r>
      <w:r>
        <w:rPr>
          <w:spacing w:val="-12"/>
          <w:sz w:val="24"/>
        </w:rPr>
        <w:t xml:space="preserve"> </w:t>
      </w:r>
      <w:r>
        <w:rPr>
          <w:sz w:val="24"/>
        </w:rPr>
        <w:t>authorship on research papers, articles or other research</w:t>
      </w:r>
      <w:r>
        <w:rPr>
          <w:spacing w:val="-7"/>
          <w:sz w:val="24"/>
        </w:rPr>
        <w:t xml:space="preserve"> </w:t>
      </w:r>
      <w:r>
        <w:rPr>
          <w:sz w:val="24"/>
        </w:rPr>
        <w:t>products.</w:t>
      </w:r>
    </w:p>
    <w:p w:rsidR="003F5435" w:rsidRDefault="00C638B3">
      <w:pPr>
        <w:pStyle w:val="ListParagraph"/>
        <w:numPr>
          <w:ilvl w:val="0"/>
          <w:numId w:val="2"/>
        </w:numPr>
        <w:tabs>
          <w:tab w:val="left" w:pos="1181"/>
        </w:tabs>
        <w:spacing w:before="161" w:line="259" w:lineRule="auto"/>
        <w:ind w:right="270"/>
        <w:rPr>
          <w:sz w:val="24"/>
        </w:rPr>
      </w:pPr>
      <w:r>
        <w:rPr>
          <w:sz w:val="24"/>
        </w:rPr>
        <w:t>Demonstrated ability to write or pa</w:t>
      </w:r>
      <w:r>
        <w:rPr>
          <w:sz w:val="24"/>
        </w:rPr>
        <w:t>rticipate significantly in the writing of</w:t>
      </w:r>
      <w:r>
        <w:rPr>
          <w:spacing w:val="-18"/>
          <w:sz w:val="24"/>
        </w:rPr>
        <w:t xml:space="preserve"> </w:t>
      </w:r>
      <w:r>
        <w:rPr>
          <w:sz w:val="24"/>
        </w:rPr>
        <w:t>successful grant proposals and refereed</w:t>
      </w:r>
      <w:r>
        <w:rPr>
          <w:spacing w:val="-6"/>
          <w:sz w:val="24"/>
        </w:rPr>
        <w:t xml:space="preserve"> </w:t>
      </w:r>
      <w:r>
        <w:rPr>
          <w:sz w:val="24"/>
        </w:rPr>
        <w:t>manuscripts</w:t>
      </w:r>
    </w:p>
    <w:p w:rsidR="003F5435" w:rsidRDefault="00C638B3">
      <w:pPr>
        <w:pStyle w:val="ListParagraph"/>
        <w:numPr>
          <w:ilvl w:val="0"/>
          <w:numId w:val="2"/>
        </w:numPr>
        <w:tabs>
          <w:tab w:val="left" w:pos="1181"/>
        </w:tabs>
        <w:spacing w:before="158"/>
        <w:rPr>
          <w:sz w:val="24"/>
        </w:rPr>
      </w:pPr>
      <w:r>
        <w:rPr>
          <w:sz w:val="24"/>
        </w:rPr>
        <w:t>Significant contributions to national or international scientific</w:t>
      </w:r>
      <w:r>
        <w:rPr>
          <w:spacing w:val="-15"/>
          <w:sz w:val="24"/>
        </w:rPr>
        <w:t xml:space="preserve"> </w:t>
      </w:r>
      <w:r>
        <w:rPr>
          <w:sz w:val="24"/>
        </w:rPr>
        <w:t>meetings</w:t>
      </w:r>
    </w:p>
    <w:p w:rsidR="003F5435" w:rsidRDefault="00C638B3">
      <w:pPr>
        <w:pStyle w:val="ListParagraph"/>
        <w:numPr>
          <w:ilvl w:val="0"/>
          <w:numId w:val="2"/>
        </w:numPr>
        <w:tabs>
          <w:tab w:val="left" w:pos="1180"/>
          <w:tab w:val="left" w:pos="1181"/>
        </w:tabs>
        <w:spacing w:before="182" w:line="259" w:lineRule="auto"/>
        <w:ind w:right="183"/>
        <w:rPr>
          <w:sz w:val="24"/>
        </w:rPr>
      </w:pPr>
      <w:r>
        <w:rPr>
          <w:sz w:val="24"/>
        </w:rPr>
        <w:t>Sustained excellence in mentorship, teaching, laboratory instruction, and supervision of undergraduates, graduate students, or employees whose work is essential to the research</w:t>
      </w:r>
      <w:r>
        <w:rPr>
          <w:spacing w:val="-7"/>
          <w:sz w:val="24"/>
        </w:rPr>
        <w:t xml:space="preserve"> </w:t>
      </w:r>
      <w:r>
        <w:rPr>
          <w:sz w:val="24"/>
        </w:rPr>
        <w:t>enterprise</w:t>
      </w:r>
    </w:p>
    <w:p w:rsidR="003F5435" w:rsidRDefault="003F5435">
      <w:pPr>
        <w:pStyle w:val="BodyText"/>
        <w:ind w:left="0"/>
        <w:rPr>
          <w:sz w:val="26"/>
        </w:rPr>
      </w:pPr>
    </w:p>
    <w:p w:rsidR="003F5435" w:rsidRDefault="003F5435">
      <w:pPr>
        <w:pStyle w:val="BodyText"/>
        <w:spacing w:before="9"/>
        <w:ind w:left="0"/>
        <w:rPr>
          <w:sz w:val="27"/>
        </w:rPr>
      </w:pPr>
    </w:p>
    <w:p w:rsidR="003F5435" w:rsidRDefault="00C638B3">
      <w:pPr>
        <w:pStyle w:val="BodyText"/>
        <w:spacing w:line="259" w:lineRule="auto"/>
        <w:ind w:left="100" w:right="289"/>
      </w:pPr>
      <w:r>
        <w:t xml:space="preserve">If </w:t>
      </w:r>
      <w:r>
        <w:rPr>
          <w:b/>
        </w:rPr>
        <w:t xml:space="preserve">service </w:t>
      </w:r>
      <w:r>
        <w:t>is a significant component of the job description, mult</w:t>
      </w:r>
      <w:r>
        <w:t>iple examples of the following types of accomplishments may serve as suitable promotion criteria:</w:t>
      </w:r>
    </w:p>
    <w:p w:rsidR="003F5435" w:rsidRDefault="003F5435">
      <w:pPr>
        <w:pStyle w:val="BodyText"/>
        <w:ind w:left="0"/>
        <w:rPr>
          <w:sz w:val="26"/>
        </w:rPr>
      </w:pPr>
    </w:p>
    <w:p w:rsidR="003F5435" w:rsidRDefault="003F5435">
      <w:pPr>
        <w:pStyle w:val="BodyText"/>
        <w:spacing w:before="9"/>
        <w:ind w:left="0"/>
        <w:rPr>
          <w:sz w:val="27"/>
        </w:rPr>
      </w:pPr>
    </w:p>
    <w:p w:rsidR="003F5435" w:rsidRDefault="00C638B3">
      <w:pPr>
        <w:pStyle w:val="ListParagraph"/>
        <w:numPr>
          <w:ilvl w:val="0"/>
          <w:numId w:val="1"/>
        </w:numPr>
        <w:tabs>
          <w:tab w:val="left" w:pos="1181"/>
        </w:tabs>
        <w:spacing w:before="0" w:line="259" w:lineRule="auto"/>
        <w:ind w:right="399"/>
        <w:rPr>
          <w:sz w:val="24"/>
        </w:rPr>
      </w:pPr>
      <w:r>
        <w:rPr>
          <w:sz w:val="24"/>
        </w:rPr>
        <w:t>Sustained involvement in departmental, institutional, professional, and community service work as</w:t>
      </w:r>
      <w:r>
        <w:rPr>
          <w:spacing w:val="-6"/>
          <w:sz w:val="24"/>
        </w:rPr>
        <w:t xml:space="preserve"> </w:t>
      </w:r>
      <w:r>
        <w:rPr>
          <w:sz w:val="24"/>
        </w:rPr>
        <w:t>appropriate.</w:t>
      </w:r>
    </w:p>
    <w:p w:rsidR="003F5435" w:rsidRDefault="00C638B3">
      <w:pPr>
        <w:pStyle w:val="ListParagraph"/>
        <w:numPr>
          <w:ilvl w:val="0"/>
          <w:numId w:val="1"/>
        </w:numPr>
        <w:tabs>
          <w:tab w:val="left" w:pos="1181"/>
        </w:tabs>
        <w:spacing w:before="158" w:line="259" w:lineRule="auto"/>
        <w:ind w:right="1078"/>
        <w:rPr>
          <w:sz w:val="24"/>
        </w:rPr>
      </w:pPr>
      <w:r>
        <w:rPr>
          <w:sz w:val="24"/>
        </w:rPr>
        <w:t>A sustained record of leadership in support o</w:t>
      </w:r>
      <w:r>
        <w:rPr>
          <w:sz w:val="24"/>
        </w:rPr>
        <w:t>f the department’s/university’s instructional or research</w:t>
      </w:r>
      <w:r>
        <w:rPr>
          <w:spacing w:val="-5"/>
          <w:sz w:val="24"/>
        </w:rPr>
        <w:t xml:space="preserve"> </w:t>
      </w:r>
      <w:r>
        <w:rPr>
          <w:sz w:val="24"/>
        </w:rPr>
        <w:t>missions</w:t>
      </w:r>
    </w:p>
    <w:p w:rsidR="003F5435" w:rsidRDefault="00C638B3">
      <w:pPr>
        <w:pStyle w:val="ListParagraph"/>
        <w:numPr>
          <w:ilvl w:val="0"/>
          <w:numId w:val="1"/>
        </w:numPr>
        <w:tabs>
          <w:tab w:val="left" w:pos="1181"/>
        </w:tabs>
        <w:spacing w:line="259" w:lineRule="auto"/>
        <w:ind w:right="572"/>
        <w:rPr>
          <w:sz w:val="24"/>
        </w:rPr>
      </w:pPr>
      <w:r>
        <w:rPr>
          <w:sz w:val="24"/>
        </w:rPr>
        <w:t>Evidence of a leadership role in at least some aspects of their collaborations with faculty in their instructional or research</w:t>
      </w:r>
      <w:r>
        <w:rPr>
          <w:spacing w:val="-12"/>
          <w:sz w:val="24"/>
        </w:rPr>
        <w:t xml:space="preserve"> </w:t>
      </w:r>
      <w:r>
        <w:rPr>
          <w:sz w:val="24"/>
        </w:rPr>
        <w:t>activities</w:t>
      </w:r>
    </w:p>
    <w:p w:rsidR="003F5435" w:rsidRDefault="00C638B3">
      <w:pPr>
        <w:pStyle w:val="ListParagraph"/>
        <w:numPr>
          <w:ilvl w:val="0"/>
          <w:numId w:val="1"/>
        </w:numPr>
        <w:tabs>
          <w:tab w:val="left" w:pos="1181"/>
        </w:tabs>
        <w:spacing w:line="259" w:lineRule="auto"/>
        <w:ind w:right="135"/>
        <w:rPr>
          <w:sz w:val="24"/>
        </w:rPr>
      </w:pPr>
      <w:r>
        <w:rPr>
          <w:sz w:val="24"/>
        </w:rPr>
        <w:t>Demonstration of leadership roles in professional s</w:t>
      </w:r>
      <w:r>
        <w:rPr>
          <w:sz w:val="24"/>
        </w:rPr>
        <w:t>ocieties, such as chairing or organizing sessions at national conferences, memberships on national committees, holding offices in professional societies, appointments to important review bodies</w:t>
      </w:r>
      <w:r>
        <w:rPr>
          <w:spacing w:val="-16"/>
          <w:sz w:val="24"/>
        </w:rPr>
        <w:t xml:space="preserve"> </w:t>
      </w:r>
      <w:r>
        <w:rPr>
          <w:sz w:val="24"/>
        </w:rPr>
        <w:t>for governmental</w:t>
      </w:r>
      <w:r>
        <w:rPr>
          <w:spacing w:val="-5"/>
          <w:sz w:val="24"/>
        </w:rPr>
        <w:t xml:space="preserve"> </w:t>
      </w:r>
      <w:r>
        <w:rPr>
          <w:sz w:val="24"/>
        </w:rPr>
        <w:t>agencies</w:t>
      </w:r>
    </w:p>
    <w:p w:rsidR="003F5435" w:rsidRDefault="003F5435">
      <w:pPr>
        <w:pStyle w:val="BodyText"/>
        <w:ind w:left="0"/>
        <w:rPr>
          <w:sz w:val="26"/>
        </w:rPr>
      </w:pPr>
    </w:p>
    <w:p w:rsidR="003F5435" w:rsidRDefault="003F5435">
      <w:pPr>
        <w:pStyle w:val="BodyText"/>
        <w:spacing w:before="5"/>
        <w:ind w:left="0"/>
        <w:rPr>
          <w:sz w:val="28"/>
        </w:rPr>
      </w:pPr>
    </w:p>
    <w:p w:rsidR="003F5435" w:rsidRDefault="00C638B3">
      <w:pPr>
        <w:pStyle w:val="Heading1"/>
      </w:pPr>
      <w:r>
        <w:rPr>
          <w:u w:val="thick"/>
        </w:rPr>
        <w:t>Procedure for Promotion of Academic Professionals</w:t>
      </w:r>
    </w:p>
    <w:p w:rsidR="003F5435" w:rsidRDefault="00C638B3">
      <w:pPr>
        <w:pStyle w:val="BodyText"/>
        <w:spacing w:before="232" w:line="276" w:lineRule="auto"/>
        <w:ind w:left="100" w:right="102"/>
      </w:pPr>
      <w:r>
        <w:t>A three-person committee will be formed to evaluate the candidate’s credentials for promotion. A tenured faculty member shall serve as the chair of the Committee and the remainder of the Committee shall con</w:t>
      </w:r>
      <w:r>
        <w:t>sist of one tenured faculty member and, if available, an Academic Professional holding the rank the candidate is seeking (or a higher rank); if no eligible Academic professional is available, then the third committee member will also be a tenured faculty m</w:t>
      </w:r>
      <w:r>
        <w:t>ember. Ideally, at least one person on the committee will have direct knowledge of the</w:t>
      </w:r>
    </w:p>
    <w:p w:rsidR="003F5435" w:rsidRDefault="003F5435">
      <w:pPr>
        <w:spacing w:line="276" w:lineRule="auto"/>
        <w:sectPr w:rsidR="003F5435">
          <w:pgSz w:w="12240" w:h="15840"/>
          <w:pgMar w:top="1360" w:right="1380" w:bottom="280" w:left="1340" w:header="720" w:footer="720" w:gutter="0"/>
          <w:cols w:space="720"/>
        </w:sectPr>
      </w:pPr>
    </w:p>
    <w:p w:rsidR="003F5435" w:rsidRDefault="00C638B3">
      <w:pPr>
        <w:pStyle w:val="BodyText"/>
        <w:spacing w:before="74" w:line="276" w:lineRule="auto"/>
        <w:ind w:left="100" w:right="82"/>
      </w:pPr>
      <w:r>
        <w:lastRenderedPageBreak/>
        <w:t>candidate’s work. This Committee should review the candidate’s materials. The Committee chair should ensure that all aspects of the case are thoroughly discuss</w:t>
      </w:r>
      <w:r>
        <w:t>ed at a face-to-face meeting. The chair of the Committee should draft a letter summarizing the strengths and weaknesses of the case and should make a recommendation regarding promotion. This letter should include a statement regarding collaborative efforts</w:t>
      </w:r>
      <w:r>
        <w:t xml:space="preserve"> between the candidate and the Committee members.</w:t>
      </w:r>
    </w:p>
    <w:p w:rsidR="003F5435" w:rsidRDefault="00C638B3">
      <w:pPr>
        <w:pStyle w:val="BodyText"/>
        <w:spacing w:line="278" w:lineRule="auto"/>
        <w:ind w:left="100" w:right="82"/>
      </w:pPr>
      <w:r>
        <w:t>This letter should be reviewed by the other Committee members and all three Committee members should affix their signature to the letter. The Committee’s letter is forwarded to the department chair and beco</w:t>
      </w:r>
      <w:r>
        <w:t>mes part of the official case file.</w:t>
      </w:r>
    </w:p>
    <w:sectPr w:rsidR="003F5435">
      <w:pgSz w:w="12240" w:h="15840"/>
      <w:pgMar w:top="136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604F7"/>
    <w:multiLevelType w:val="hybridMultilevel"/>
    <w:tmpl w:val="4A565842"/>
    <w:lvl w:ilvl="0" w:tplc="695A4238">
      <w:start w:val="1"/>
      <w:numFmt w:val="lowerLetter"/>
      <w:lvlText w:val="%1."/>
      <w:lvlJc w:val="left"/>
      <w:pPr>
        <w:ind w:left="1180" w:hanging="360"/>
        <w:jc w:val="left"/>
      </w:pPr>
      <w:rPr>
        <w:rFonts w:ascii="Times New Roman" w:eastAsia="Times New Roman" w:hAnsi="Times New Roman" w:cs="Times New Roman" w:hint="default"/>
        <w:b/>
        <w:bCs/>
        <w:spacing w:val="-5"/>
        <w:w w:val="99"/>
        <w:sz w:val="24"/>
        <w:szCs w:val="24"/>
      </w:rPr>
    </w:lvl>
    <w:lvl w:ilvl="1" w:tplc="CDFCEA56">
      <w:start w:val="1"/>
      <w:numFmt w:val="lowerLetter"/>
      <w:lvlText w:val="%2."/>
      <w:lvlJc w:val="left"/>
      <w:pPr>
        <w:ind w:left="1540" w:hanging="360"/>
        <w:jc w:val="left"/>
      </w:pPr>
      <w:rPr>
        <w:rFonts w:ascii="Times New Roman" w:eastAsia="Times New Roman" w:hAnsi="Times New Roman" w:cs="Times New Roman" w:hint="default"/>
        <w:b/>
        <w:bCs/>
        <w:spacing w:val="-8"/>
        <w:w w:val="99"/>
        <w:sz w:val="24"/>
        <w:szCs w:val="24"/>
      </w:rPr>
    </w:lvl>
    <w:lvl w:ilvl="2" w:tplc="8222B2D2">
      <w:numFmt w:val="bullet"/>
      <w:lvlText w:val="•"/>
      <w:lvlJc w:val="left"/>
      <w:pPr>
        <w:ind w:left="2424" w:hanging="360"/>
      </w:pPr>
      <w:rPr>
        <w:rFonts w:hint="default"/>
      </w:rPr>
    </w:lvl>
    <w:lvl w:ilvl="3" w:tplc="9ABEF17C">
      <w:numFmt w:val="bullet"/>
      <w:lvlText w:val="•"/>
      <w:lvlJc w:val="left"/>
      <w:pPr>
        <w:ind w:left="3308" w:hanging="360"/>
      </w:pPr>
      <w:rPr>
        <w:rFonts w:hint="default"/>
      </w:rPr>
    </w:lvl>
    <w:lvl w:ilvl="4" w:tplc="CF323B6C">
      <w:numFmt w:val="bullet"/>
      <w:lvlText w:val="•"/>
      <w:lvlJc w:val="left"/>
      <w:pPr>
        <w:ind w:left="4193" w:hanging="360"/>
      </w:pPr>
      <w:rPr>
        <w:rFonts w:hint="default"/>
      </w:rPr>
    </w:lvl>
    <w:lvl w:ilvl="5" w:tplc="F156F60A">
      <w:numFmt w:val="bullet"/>
      <w:lvlText w:val="•"/>
      <w:lvlJc w:val="left"/>
      <w:pPr>
        <w:ind w:left="5077" w:hanging="360"/>
      </w:pPr>
      <w:rPr>
        <w:rFonts w:hint="default"/>
      </w:rPr>
    </w:lvl>
    <w:lvl w:ilvl="6" w:tplc="6450E116">
      <w:numFmt w:val="bullet"/>
      <w:lvlText w:val="•"/>
      <w:lvlJc w:val="left"/>
      <w:pPr>
        <w:ind w:left="5962" w:hanging="360"/>
      </w:pPr>
      <w:rPr>
        <w:rFonts w:hint="default"/>
      </w:rPr>
    </w:lvl>
    <w:lvl w:ilvl="7" w:tplc="AC6070E8">
      <w:numFmt w:val="bullet"/>
      <w:lvlText w:val="•"/>
      <w:lvlJc w:val="left"/>
      <w:pPr>
        <w:ind w:left="6846" w:hanging="360"/>
      </w:pPr>
      <w:rPr>
        <w:rFonts w:hint="default"/>
      </w:rPr>
    </w:lvl>
    <w:lvl w:ilvl="8" w:tplc="063C9C2C">
      <w:numFmt w:val="bullet"/>
      <w:lvlText w:val="•"/>
      <w:lvlJc w:val="left"/>
      <w:pPr>
        <w:ind w:left="7731" w:hanging="360"/>
      </w:pPr>
      <w:rPr>
        <w:rFonts w:hint="default"/>
      </w:rPr>
    </w:lvl>
  </w:abstractNum>
  <w:abstractNum w:abstractNumId="1" w15:restartNumberingAfterBreak="0">
    <w:nsid w:val="11A87F3C"/>
    <w:multiLevelType w:val="hybridMultilevel"/>
    <w:tmpl w:val="EF80A55E"/>
    <w:lvl w:ilvl="0" w:tplc="B0C27474">
      <w:start w:val="1"/>
      <w:numFmt w:val="lowerLetter"/>
      <w:lvlText w:val="%1."/>
      <w:lvlJc w:val="left"/>
      <w:pPr>
        <w:ind w:left="1180" w:hanging="360"/>
        <w:jc w:val="left"/>
      </w:pPr>
      <w:rPr>
        <w:rFonts w:ascii="Times New Roman" w:eastAsia="Times New Roman" w:hAnsi="Times New Roman" w:cs="Times New Roman" w:hint="default"/>
        <w:spacing w:val="-3"/>
        <w:w w:val="99"/>
        <w:sz w:val="24"/>
        <w:szCs w:val="24"/>
      </w:rPr>
    </w:lvl>
    <w:lvl w:ilvl="1" w:tplc="0338BA1E">
      <w:numFmt w:val="bullet"/>
      <w:lvlText w:val="•"/>
      <w:lvlJc w:val="left"/>
      <w:pPr>
        <w:ind w:left="2006" w:hanging="360"/>
      </w:pPr>
      <w:rPr>
        <w:rFonts w:hint="default"/>
      </w:rPr>
    </w:lvl>
    <w:lvl w:ilvl="2" w:tplc="93BC0EF8">
      <w:numFmt w:val="bullet"/>
      <w:lvlText w:val="•"/>
      <w:lvlJc w:val="left"/>
      <w:pPr>
        <w:ind w:left="2832" w:hanging="360"/>
      </w:pPr>
      <w:rPr>
        <w:rFonts w:hint="default"/>
      </w:rPr>
    </w:lvl>
    <w:lvl w:ilvl="3" w:tplc="9250AF9E">
      <w:numFmt w:val="bullet"/>
      <w:lvlText w:val="•"/>
      <w:lvlJc w:val="left"/>
      <w:pPr>
        <w:ind w:left="3658" w:hanging="360"/>
      </w:pPr>
      <w:rPr>
        <w:rFonts w:hint="default"/>
      </w:rPr>
    </w:lvl>
    <w:lvl w:ilvl="4" w:tplc="DAAE03B2">
      <w:numFmt w:val="bullet"/>
      <w:lvlText w:val="•"/>
      <w:lvlJc w:val="left"/>
      <w:pPr>
        <w:ind w:left="4484" w:hanging="360"/>
      </w:pPr>
      <w:rPr>
        <w:rFonts w:hint="default"/>
      </w:rPr>
    </w:lvl>
    <w:lvl w:ilvl="5" w:tplc="4516F090">
      <w:numFmt w:val="bullet"/>
      <w:lvlText w:val="•"/>
      <w:lvlJc w:val="left"/>
      <w:pPr>
        <w:ind w:left="5310" w:hanging="360"/>
      </w:pPr>
      <w:rPr>
        <w:rFonts w:hint="default"/>
      </w:rPr>
    </w:lvl>
    <w:lvl w:ilvl="6" w:tplc="7C02E38C">
      <w:numFmt w:val="bullet"/>
      <w:lvlText w:val="•"/>
      <w:lvlJc w:val="left"/>
      <w:pPr>
        <w:ind w:left="6136" w:hanging="360"/>
      </w:pPr>
      <w:rPr>
        <w:rFonts w:hint="default"/>
      </w:rPr>
    </w:lvl>
    <w:lvl w:ilvl="7" w:tplc="2FE01C9E">
      <w:numFmt w:val="bullet"/>
      <w:lvlText w:val="•"/>
      <w:lvlJc w:val="left"/>
      <w:pPr>
        <w:ind w:left="6962" w:hanging="360"/>
      </w:pPr>
      <w:rPr>
        <w:rFonts w:hint="default"/>
      </w:rPr>
    </w:lvl>
    <w:lvl w:ilvl="8" w:tplc="3E4C5BD6">
      <w:numFmt w:val="bullet"/>
      <w:lvlText w:val="•"/>
      <w:lvlJc w:val="left"/>
      <w:pPr>
        <w:ind w:left="7788" w:hanging="360"/>
      </w:pPr>
      <w:rPr>
        <w:rFonts w:hint="default"/>
      </w:rPr>
    </w:lvl>
  </w:abstractNum>
  <w:abstractNum w:abstractNumId="2" w15:restartNumberingAfterBreak="0">
    <w:nsid w:val="48FE79C5"/>
    <w:multiLevelType w:val="hybridMultilevel"/>
    <w:tmpl w:val="C0343546"/>
    <w:lvl w:ilvl="0" w:tplc="35461674">
      <w:start w:val="1"/>
      <w:numFmt w:val="lowerLetter"/>
      <w:lvlText w:val="%1."/>
      <w:lvlJc w:val="left"/>
      <w:pPr>
        <w:ind w:left="1180" w:hanging="360"/>
        <w:jc w:val="left"/>
      </w:pPr>
      <w:rPr>
        <w:rFonts w:ascii="Times New Roman" w:eastAsia="Times New Roman" w:hAnsi="Times New Roman" w:cs="Times New Roman" w:hint="default"/>
        <w:b/>
        <w:bCs/>
        <w:spacing w:val="-3"/>
        <w:w w:val="99"/>
        <w:sz w:val="24"/>
        <w:szCs w:val="24"/>
      </w:rPr>
    </w:lvl>
    <w:lvl w:ilvl="1" w:tplc="A1DE3766">
      <w:numFmt w:val="bullet"/>
      <w:lvlText w:val="•"/>
      <w:lvlJc w:val="left"/>
      <w:pPr>
        <w:ind w:left="2014" w:hanging="360"/>
      </w:pPr>
      <w:rPr>
        <w:rFonts w:hint="default"/>
      </w:rPr>
    </w:lvl>
    <w:lvl w:ilvl="2" w:tplc="8F400992">
      <w:numFmt w:val="bullet"/>
      <w:lvlText w:val="•"/>
      <w:lvlJc w:val="left"/>
      <w:pPr>
        <w:ind w:left="2848" w:hanging="360"/>
      </w:pPr>
      <w:rPr>
        <w:rFonts w:hint="default"/>
      </w:rPr>
    </w:lvl>
    <w:lvl w:ilvl="3" w:tplc="A170DDA8">
      <w:numFmt w:val="bullet"/>
      <w:lvlText w:val="•"/>
      <w:lvlJc w:val="left"/>
      <w:pPr>
        <w:ind w:left="3682" w:hanging="360"/>
      </w:pPr>
      <w:rPr>
        <w:rFonts w:hint="default"/>
      </w:rPr>
    </w:lvl>
    <w:lvl w:ilvl="4" w:tplc="2F24044A">
      <w:numFmt w:val="bullet"/>
      <w:lvlText w:val="•"/>
      <w:lvlJc w:val="left"/>
      <w:pPr>
        <w:ind w:left="4516" w:hanging="360"/>
      </w:pPr>
      <w:rPr>
        <w:rFonts w:hint="default"/>
      </w:rPr>
    </w:lvl>
    <w:lvl w:ilvl="5" w:tplc="C792B240">
      <w:numFmt w:val="bullet"/>
      <w:lvlText w:val="•"/>
      <w:lvlJc w:val="left"/>
      <w:pPr>
        <w:ind w:left="5350" w:hanging="360"/>
      </w:pPr>
      <w:rPr>
        <w:rFonts w:hint="default"/>
      </w:rPr>
    </w:lvl>
    <w:lvl w:ilvl="6" w:tplc="BE0EA260">
      <w:numFmt w:val="bullet"/>
      <w:lvlText w:val="•"/>
      <w:lvlJc w:val="left"/>
      <w:pPr>
        <w:ind w:left="6184" w:hanging="360"/>
      </w:pPr>
      <w:rPr>
        <w:rFonts w:hint="default"/>
      </w:rPr>
    </w:lvl>
    <w:lvl w:ilvl="7" w:tplc="C8CE079C">
      <w:numFmt w:val="bullet"/>
      <w:lvlText w:val="•"/>
      <w:lvlJc w:val="left"/>
      <w:pPr>
        <w:ind w:left="7018" w:hanging="360"/>
      </w:pPr>
      <w:rPr>
        <w:rFonts w:hint="default"/>
      </w:rPr>
    </w:lvl>
    <w:lvl w:ilvl="8" w:tplc="4058DE98">
      <w:numFmt w:val="bullet"/>
      <w:lvlText w:val="•"/>
      <w:lvlJc w:val="left"/>
      <w:pPr>
        <w:ind w:left="7852" w:hanging="360"/>
      </w:pPr>
      <w:rPr>
        <w:rFonts w:hint="default"/>
      </w:rPr>
    </w:lvl>
  </w:abstractNum>
  <w:abstractNum w:abstractNumId="3" w15:restartNumberingAfterBreak="0">
    <w:nsid w:val="72BD1AC2"/>
    <w:multiLevelType w:val="hybridMultilevel"/>
    <w:tmpl w:val="67AEF4D2"/>
    <w:lvl w:ilvl="0" w:tplc="9E081B2E">
      <w:start w:val="1"/>
      <w:numFmt w:val="lowerLetter"/>
      <w:lvlText w:val="%1."/>
      <w:lvlJc w:val="left"/>
      <w:pPr>
        <w:ind w:left="1180" w:hanging="360"/>
        <w:jc w:val="left"/>
      </w:pPr>
      <w:rPr>
        <w:rFonts w:ascii="Times New Roman" w:eastAsia="Times New Roman" w:hAnsi="Times New Roman" w:cs="Times New Roman" w:hint="default"/>
        <w:b/>
        <w:bCs/>
        <w:spacing w:val="-3"/>
        <w:w w:val="99"/>
        <w:sz w:val="24"/>
        <w:szCs w:val="24"/>
      </w:rPr>
    </w:lvl>
    <w:lvl w:ilvl="1" w:tplc="1500F89E">
      <w:numFmt w:val="bullet"/>
      <w:lvlText w:val="•"/>
      <w:lvlJc w:val="left"/>
      <w:pPr>
        <w:ind w:left="2006" w:hanging="360"/>
      </w:pPr>
      <w:rPr>
        <w:rFonts w:hint="default"/>
      </w:rPr>
    </w:lvl>
    <w:lvl w:ilvl="2" w:tplc="69566E10">
      <w:numFmt w:val="bullet"/>
      <w:lvlText w:val="•"/>
      <w:lvlJc w:val="left"/>
      <w:pPr>
        <w:ind w:left="2832" w:hanging="360"/>
      </w:pPr>
      <w:rPr>
        <w:rFonts w:hint="default"/>
      </w:rPr>
    </w:lvl>
    <w:lvl w:ilvl="3" w:tplc="FD10EA68">
      <w:numFmt w:val="bullet"/>
      <w:lvlText w:val="•"/>
      <w:lvlJc w:val="left"/>
      <w:pPr>
        <w:ind w:left="3658" w:hanging="360"/>
      </w:pPr>
      <w:rPr>
        <w:rFonts w:hint="default"/>
      </w:rPr>
    </w:lvl>
    <w:lvl w:ilvl="4" w:tplc="3B801FB6">
      <w:numFmt w:val="bullet"/>
      <w:lvlText w:val="•"/>
      <w:lvlJc w:val="left"/>
      <w:pPr>
        <w:ind w:left="4484" w:hanging="360"/>
      </w:pPr>
      <w:rPr>
        <w:rFonts w:hint="default"/>
      </w:rPr>
    </w:lvl>
    <w:lvl w:ilvl="5" w:tplc="CF625A20">
      <w:numFmt w:val="bullet"/>
      <w:lvlText w:val="•"/>
      <w:lvlJc w:val="left"/>
      <w:pPr>
        <w:ind w:left="5310" w:hanging="360"/>
      </w:pPr>
      <w:rPr>
        <w:rFonts w:hint="default"/>
      </w:rPr>
    </w:lvl>
    <w:lvl w:ilvl="6" w:tplc="FB34A49A">
      <w:numFmt w:val="bullet"/>
      <w:lvlText w:val="•"/>
      <w:lvlJc w:val="left"/>
      <w:pPr>
        <w:ind w:left="6136" w:hanging="360"/>
      </w:pPr>
      <w:rPr>
        <w:rFonts w:hint="default"/>
      </w:rPr>
    </w:lvl>
    <w:lvl w:ilvl="7" w:tplc="4FDAC216">
      <w:numFmt w:val="bullet"/>
      <w:lvlText w:val="•"/>
      <w:lvlJc w:val="left"/>
      <w:pPr>
        <w:ind w:left="6962" w:hanging="360"/>
      </w:pPr>
      <w:rPr>
        <w:rFonts w:hint="default"/>
      </w:rPr>
    </w:lvl>
    <w:lvl w:ilvl="8" w:tplc="5CACC8FC">
      <w:numFmt w:val="bullet"/>
      <w:lvlText w:val="•"/>
      <w:lvlJc w:val="left"/>
      <w:pPr>
        <w:ind w:left="7788" w:hanging="360"/>
      </w:pPr>
      <w:rPr>
        <w:rFonts w:hint="default"/>
      </w:rPr>
    </w:lvl>
  </w:abstractNum>
  <w:abstractNum w:abstractNumId="4" w15:restartNumberingAfterBreak="0">
    <w:nsid w:val="79161988"/>
    <w:multiLevelType w:val="hybridMultilevel"/>
    <w:tmpl w:val="43CC6A7A"/>
    <w:lvl w:ilvl="0" w:tplc="368A97D4">
      <w:start w:val="1"/>
      <w:numFmt w:val="lowerLetter"/>
      <w:lvlText w:val="%1."/>
      <w:lvlJc w:val="left"/>
      <w:pPr>
        <w:ind w:left="1180" w:hanging="360"/>
        <w:jc w:val="left"/>
      </w:pPr>
      <w:rPr>
        <w:rFonts w:ascii="Times New Roman" w:eastAsia="Times New Roman" w:hAnsi="Times New Roman" w:cs="Times New Roman" w:hint="default"/>
        <w:b/>
        <w:bCs/>
        <w:spacing w:val="-2"/>
        <w:w w:val="99"/>
        <w:sz w:val="24"/>
        <w:szCs w:val="24"/>
      </w:rPr>
    </w:lvl>
    <w:lvl w:ilvl="1" w:tplc="4218E81A">
      <w:numFmt w:val="bullet"/>
      <w:lvlText w:val="•"/>
      <w:lvlJc w:val="left"/>
      <w:pPr>
        <w:ind w:left="2014" w:hanging="360"/>
      </w:pPr>
      <w:rPr>
        <w:rFonts w:hint="default"/>
      </w:rPr>
    </w:lvl>
    <w:lvl w:ilvl="2" w:tplc="AABA1150">
      <w:numFmt w:val="bullet"/>
      <w:lvlText w:val="•"/>
      <w:lvlJc w:val="left"/>
      <w:pPr>
        <w:ind w:left="2848" w:hanging="360"/>
      </w:pPr>
      <w:rPr>
        <w:rFonts w:hint="default"/>
      </w:rPr>
    </w:lvl>
    <w:lvl w:ilvl="3" w:tplc="884C2D2C">
      <w:numFmt w:val="bullet"/>
      <w:lvlText w:val="•"/>
      <w:lvlJc w:val="left"/>
      <w:pPr>
        <w:ind w:left="3682" w:hanging="360"/>
      </w:pPr>
      <w:rPr>
        <w:rFonts w:hint="default"/>
      </w:rPr>
    </w:lvl>
    <w:lvl w:ilvl="4" w:tplc="79565EF0">
      <w:numFmt w:val="bullet"/>
      <w:lvlText w:val="•"/>
      <w:lvlJc w:val="left"/>
      <w:pPr>
        <w:ind w:left="4516" w:hanging="360"/>
      </w:pPr>
      <w:rPr>
        <w:rFonts w:hint="default"/>
      </w:rPr>
    </w:lvl>
    <w:lvl w:ilvl="5" w:tplc="AB36BAC2">
      <w:numFmt w:val="bullet"/>
      <w:lvlText w:val="•"/>
      <w:lvlJc w:val="left"/>
      <w:pPr>
        <w:ind w:left="5350" w:hanging="360"/>
      </w:pPr>
      <w:rPr>
        <w:rFonts w:hint="default"/>
      </w:rPr>
    </w:lvl>
    <w:lvl w:ilvl="6" w:tplc="1E2A9752">
      <w:numFmt w:val="bullet"/>
      <w:lvlText w:val="•"/>
      <w:lvlJc w:val="left"/>
      <w:pPr>
        <w:ind w:left="6184" w:hanging="360"/>
      </w:pPr>
      <w:rPr>
        <w:rFonts w:hint="default"/>
      </w:rPr>
    </w:lvl>
    <w:lvl w:ilvl="7" w:tplc="AD3C6338">
      <w:numFmt w:val="bullet"/>
      <w:lvlText w:val="•"/>
      <w:lvlJc w:val="left"/>
      <w:pPr>
        <w:ind w:left="7018" w:hanging="360"/>
      </w:pPr>
      <w:rPr>
        <w:rFonts w:hint="default"/>
      </w:rPr>
    </w:lvl>
    <w:lvl w:ilvl="8" w:tplc="BC0CA550">
      <w:numFmt w:val="bullet"/>
      <w:lvlText w:val="•"/>
      <w:lvlJc w:val="left"/>
      <w:pPr>
        <w:ind w:left="7852" w:hanging="360"/>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435"/>
    <w:rsid w:val="003F5435"/>
    <w:rsid w:val="00C63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161C15-AF12-42F2-B603-44A92ABA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pPr>
    <w:rPr>
      <w:sz w:val="24"/>
      <w:szCs w:val="24"/>
    </w:rPr>
  </w:style>
  <w:style w:type="paragraph" w:styleId="ListParagraph">
    <w:name w:val="List Paragraph"/>
    <w:basedOn w:val="Normal"/>
    <w:uiPriority w:val="1"/>
    <w:qFormat/>
    <w:pPr>
      <w:spacing w:before="160"/>
      <w:ind w:left="11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u.edu/aad/manuals/acd/acd505-0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Neuberg</dc:creator>
  <cp:lastModifiedBy>Jill Kolp</cp:lastModifiedBy>
  <cp:revision>2</cp:revision>
  <dcterms:created xsi:type="dcterms:W3CDTF">2017-12-06T18:05:00Z</dcterms:created>
  <dcterms:modified xsi:type="dcterms:W3CDTF">2017-12-06T18:05:00Z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Microsoft® Word 2016</vt:lpwstr>
  </property>
  <property fmtid="{D5CDD505-2E9C-101B-9397-08002B2CF9AE}" pid="4" name="LastSaved">
    <vt:filetime>2017-12-06T00:00:00Z</vt:filetime>
  </property>
</Properties>
</file>