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rPr>
        <w:id w:val="1001473909"/>
        <w:docPartObj>
          <w:docPartGallery w:val="Cover Pages"/>
          <w:docPartUnique/>
        </w:docPartObj>
      </w:sdtPr>
      <w:sdtEndPr>
        <w:rPr>
          <w:rFonts w:ascii="Times New Roman" w:eastAsia="Times New Roman" w:hAnsi="Times New Roman" w:cs="Times New Roman"/>
          <w:b/>
          <w:color w:val="000000"/>
          <w:sz w:val="28"/>
          <w:szCs w:val="28"/>
        </w:rPr>
      </w:sdtEndPr>
      <w:sdtContent>
        <w:p w14:paraId="3340DAF4" w14:textId="5CC9AAAC" w:rsidR="00D82C1C" w:rsidRDefault="00D82C1C" w:rsidP="00D82C1C">
          <w:pPr>
            <w:ind w:left="720"/>
          </w:pPr>
        </w:p>
        <w:p w14:paraId="3C702B03" w14:textId="7A41B87E" w:rsidR="00D82C1C" w:rsidRDefault="00D82C1C" w:rsidP="00A97B0A">
          <w:pPr>
            <w:rPr>
              <w:rFonts w:ascii="Calibri" w:eastAsia="Calibri" w:hAnsi="Calibri" w:cs="Calibri"/>
              <w:b/>
              <w:color w:val="000004"/>
              <w:sz w:val="14"/>
              <w:szCs w:val="24"/>
            </w:rPr>
          </w:pPr>
        </w:p>
        <w:p w14:paraId="7FDF36BA" w14:textId="77777777" w:rsidR="009477B2" w:rsidRDefault="009477B2" w:rsidP="00D82C1C">
          <w:pPr>
            <w:jc w:val="center"/>
            <w:rPr>
              <w:rFonts w:ascii="Calibri" w:eastAsia="Calibri" w:hAnsi="Calibri" w:cs="Calibri"/>
              <w:b/>
              <w:color w:val="000004"/>
              <w:sz w:val="14"/>
              <w:szCs w:val="24"/>
            </w:rPr>
          </w:pPr>
        </w:p>
        <w:p w14:paraId="1E046B8D" w14:textId="77777777" w:rsidR="009477B2" w:rsidRPr="009477B2" w:rsidRDefault="009477B2" w:rsidP="00D82C1C">
          <w:pPr>
            <w:rPr>
              <w:rFonts w:ascii="Times New Roman" w:eastAsia="Calibri" w:hAnsi="Times New Roman" w:cs="Times New Roman"/>
              <w:b/>
              <w:color w:val="000004"/>
              <w:sz w:val="24"/>
              <w:szCs w:val="24"/>
            </w:rPr>
          </w:pPr>
        </w:p>
        <w:tbl>
          <w:tblPr>
            <w:tblStyle w:val="TableGrid1"/>
            <w:tblW w:w="0" w:type="auto"/>
            <w:tblInd w:w="1255" w:type="dxa"/>
            <w:tblLook w:val="04A0" w:firstRow="1" w:lastRow="0" w:firstColumn="1" w:lastColumn="0" w:noHBand="0" w:noVBand="1"/>
          </w:tblPr>
          <w:tblGrid>
            <w:gridCol w:w="1368"/>
            <w:gridCol w:w="8442"/>
          </w:tblGrid>
          <w:tr w:rsidR="00D82C1C" w:rsidRPr="00743288" w14:paraId="2082480F" w14:textId="77777777" w:rsidTr="00A97B0A">
            <w:trPr>
              <w:trHeight w:hRule="exact" w:val="720"/>
            </w:trPr>
            <w:tc>
              <w:tcPr>
                <w:tcW w:w="1368" w:type="dxa"/>
              </w:tcPr>
              <w:p w14:paraId="40156708" w14:textId="77777777" w:rsidR="00D82C1C" w:rsidRPr="00743288" w:rsidRDefault="00D82C1C" w:rsidP="00D82C1C">
                <w:pPr>
                  <w:rPr>
                    <w:rFonts w:asciiTheme="majorHAnsi" w:hAnsiTheme="majorHAnsi" w:cstheme="majorHAnsi"/>
                    <w:b/>
                    <w:bCs/>
                    <w:color w:val="000004"/>
                    <w:sz w:val="24"/>
                    <w:szCs w:val="24"/>
                  </w:rPr>
                </w:pPr>
                <w:r w:rsidRPr="00743288">
                  <w:rPr>
                    <w:rFonts w:asciiTheme="majorHAnsi" w:hAnsiTheme="majorHAnsi" w:cstheme="majorHAnsi"/>
                    <w:b/>
                    <w:bCs/>
                    <w:color w:val="000004"/>
                    <w:sz w:val="24"/>
                    <w:szCs w:val="24"/>
                  </w:rPr>
                  <w:t>College</w:t>
                </w:r>
              </w:p>
              <w:p w14:paraId="101E72CE" w14:textId="77777777" w:rsidR="00D82C1C" w:rsidRPr="00743288" w:rsidRDefault="00D82C1C" w:rsidP="00D82C1C">
                <w:pPr>
                  <w:rPr>
                    <w:rFonts w:asciiTheme="majorHAnsi" w:hAnsiTheme="majorHAnsi" w:cstheme="majorHAnsi"/>
                    <w:color w:val="000004"/>
                    <w:sz w:val="24"/>
                    <w:szCs w:val="24"/>
                  </w:rPr>
                </w:pPr>
              </w:p>
            </w:tc>
            <w:tc>
              <w:tcPr>
                <w:tcW w:w="8442" w:type="dxa"/>
              </w:tcPr>
              <w:p w14:paraId="7B26F497" w14:textId="0D1BBC1E" w:rsidR="00D82C1C" w:rsidRPr="00743288" w:rsidRDefault="00D82C1C" w:rsidP="00D82C1C">
                <w:pPr>
                  <w:rPr>
                    <w:rFonts w:asciiTheme="majorHAnsi" w:hAnsiTheme="majorHAnsi" w:cstheme="majorHAnsi"/>
                    <w:color w:val="000004"/>
                    <w:sz w:val="24"/>
                    <w:szCs w:val="24"/>
                  </w:rPr>
                </w:pPr>
                <w:r w:rsidRPr="00743288">
                  <w:rPr>
                    <w:rFonts w:asciiTheme="majorHAnsi" w:hAnsiTheme="majorHAnsi" w:cstheme="majorHAnsi"/>
                    <w:color w:val="000004"/>
                    <w:sz w:val="24"/>
                    <w:szCs w:val="24"/>
                  </w:rPr>
                  <w:t>Mary Lou Fulton Teachers College</w:t>
                </w:r>
                <w:r w:rsidR="00727AEB" w:rsidRPr="00743288">
                  <w:rPr>
                    <w:rFonts w:asciiTheme="majorHAnsi" w:hAnsiTheme="majorHAnsi" w:cstheme="majorHAnsi"/>
                    <w:color w:val="000004"/>
                    <w:sz w:val="24"/>
                    <w:szCs w:val="24"/>
                  </w:rPr>
                  <w:t xml:space="preserve"> (MLFTC)</w:t>
                </w:r>
              </w:p>
            </w:tc>
          </w:tr>
          <w:tr w:rsidR="00D82C1C" w:rsidRPr="00743288" w14:paraId="3245AFE8" w14:textId="77777777" w:rsidTr="00A97B0A">
            <w:trPr>
              <w:trHeight w:hRule="exact" w:val="720"/>
            </w:trPr>
            <w:tc>
              <w:tcPr>
                <w:tcW w:w="1368" w:type="dxa"/>
              </w:tcPr>
              <w:p w14:paraId="41131D06" w14:textId="6819EE7C" w:rsidR="00D82C1C" w:rsidRPr="00743288" w:rsidRDefault="00D82C1C" w:rsidP="00D82C1C">
                <w:pPr>
                  <w:rPr>
                    <w:rFonts w:asciiTheme="majorHAnsi" w:hAnsiTheme="majorHAnsi" w:cstheme="majorHAnsi"/>
                    <w:b/>
                    <w:bCs/>
                    <w:color w:val="000004"/>
                    <w:sz w:val="24"/>
                    <w:szCs w:val="24"/>
                  </w:rPr>
                </w:pPr>
                <w:r w:rsidRPr="00743288">
                  <w:rPr>
                    <w:rFonts w:asciiTheme="majorHAnsi" w:hAnsiTheme="majorHAnsi" w:cstheme="majorHAnsi"/>
                    <w:b/>
                    <w:bCs/>
                    <w:color w:val="000004"/>
                    <w:sz w:val="24"/>
                    <w:szCs w:val="24"/>
                  </w:rPr>
                  <w:t>Unit</w:t>
                </w:r>
                <w:r w:rsidR="00A97B0A" w:rsidRPr="00743288">
                  <w:rPr>
                    <w:rFonts w:asciiTheme="majorHAnsi" w:hAnsiTheme="majorHAnsi" w:cstheme="majorHAnsi"/>
                    <w:b/>
                    <w:bCs/>
                    <w:color w:val="000004"/>
                    <w:sz w:val="24"/>
                    <w:szCs w:val="24"/>
                  </w:rPr>
                  <w:t>s</w:t>
                </w:r>
              </w:p>
              <w:p w14:paraId="154D4427" w14:textId="77777777" w:rsidR="00D82C1C" w:rsidRPr="00743288" w:rsidRDefault="00D82C1C" w:rsidP="00D82C1C">
                <w:pPr>
                  <w:rPr>
                    <w:rFonts w:asciiTheme="majorHAnsi" w:hAnsiTheme="majorHAnsi" w:cstheme="majorHAnsi"/>
                    <w:color w:val="000004"/>
                    <w:sz w:val="24"/>
                    <w:szCs w:val="24"/>
                  </w:rPr>
                </w:pPr>
              </w:p>
            </w:tc>
            <w:tc>
              <w:tcPr>
                <w:tcW w:w="8442" w:type="dxa"/>
              </w:tcPr>
              <w:p w14:paraId="38A68A71" w14:textId="77777777" w:rsidR="00A97B0A" w:rsidRPr="00743288" w:rsidRDefault="00A97B0A" w:rsidP="00D82C1C">
                <w:pPr>
                  <w:rPr>
                    <w:rFonts w:asciiTheme="majorHAnsi" w:hAnsiTheme="majorHAnsi" w:cstheme="majorHAnsi"/>
                    <w:color w:val="000004"/>
                    <w:sz w:val="24"/>
                    <w:szCs w:val="24"/>
                  </w:rPr>
                </w:pPr>
                <w:r w:rsidRPr="00743288">
                  <w:rPr>
                    <w:rFonts w:asciiTheme="majorHAnsi" w:hAnsiTheme="majorHAnsi" w:cstheme="majorHAnsi"/>
                    <w:color w:val="000004"/>
                    <w:sz w:val="24"/>
                    <w:szCs w:val="24"/>
                  </w:rPr>
                  <w:t>Division of Teacher Preparation</w:t>
                </w:r>
              </w:p>
              <w:p w14:paraId="503C3EE5" w14:textId="379DB7F2" w:rsidR="00D82C1C" w:rsidRPr="00743288" w:rsidRDefault="00A97B0A" w:rsidP="00D82C1C">
                <w:pPr>
                  <w:rPr>
                    <w:rFonts w:asciiTheme="majorHAnsi" w:hAnsiTheme="majorHAnsi" w:cstheme="majorHAnsi"/>
                    <w:color w:val="000004"/>
                    <w:sz w:val="24"/>
                    <w:szCs w:val="24"/>
                  </w:rPr>
                </w:pPr>
                <w:r w:rsidRPr="00743288">
                  <w:rPr>
                    <w:rFonts w:asciiTheme="majorHAnsi" w:hAnsiTheme="majorHAnsi" w:cstheme="majorHAnsi"/>
                    <w:color w:val="000004"/>
                    <w:sz w:val="24"/>
                    <w:szCs w:val="24"/>
                  </w:rPr>
                  <w:t>Division of Educational Leadership and Innovation</w:t>
                </w:r>
              </w:p>
            </w:tc>
          </w:tr>
          <w:tr w:rsidR="00D82C1C" w:rsidRPr="00743288" w14:paraId="37076FB2" w14:textId="77777777" w:rsidTr="00743288">
            <w:trPr>
              <w:trHeight w:hRule="exact" w:val="712"/>
            </w:trPr>
            <w:tc>
              <w:tcPr>
                <w:tcW w:w="1368" w:type="dxa"/>
              </w:tcPr>
              <w:p w14:paraId="367A3385" w14:textId="77777777" w:rsidR="00D82C1C" w:rsidRPr="00743288" w:rsidRDefault="00D82C1C" w:rsidP="00D82C1C">
                <w:pPr>
                  <w:rPr>
                    <w:rFonts w:asciiTheme="majorHAnsi" w:hAnsiTheme="majorHAnsi" w:cstheme="majorHAnsi"/>
                    <w:b/>
                    <w:bCs/>
                    <w:color w:val="000004"/>
                    <w:sz w:val="24"/>
                    <w:szCs w:val="24"/>
                  </w:rPr>
                </w:pPr>
                <w:r w:rsidRPr="00743288">
                  <w:rPr>
                    <w:rFonts w:asciiTheme="majorHAnsi" w:hAnsiTheme="majorHAnsi" w:cstheme="majorHAnsi"/>
                    <w:b/>
                    <w:bCs/>
                    <w:color w:val="000004"/>
                    <w:sz w:val="24"/>
                    <w:szCs w:val="24"/>
                  </w:rPr>
                  <w:t>Document</w:t>
                </w:r>
              </w:p>
              <w:p w14:paraId="09173FCC" w14:textId="77777777" w:rsidR="00D82C1C" w:rsidRPr="00743288" w:rsidRDefault="00D82C1C" w:rsidP="00D82C1C">
                <w:pPr>
                  <w:rPr>
                    <w:rFonts w:asciiTheme="majorHAnsi" w:hAnsiTheme="majorHAnsi" w:cstheme="majorHAnsi"/>
                    <w:color w:val="000004"/>
                    <w:sz w:val="24"/>
                    <w:szCs w:val="24"/>
                  </w:rPr>
                </w:pPr>
              </w:p>
            </w:tc>
            <w:tc>
              <w:tcPr>
                <w:tcW w:w="8442" w:type="dxa"/>
              </w:tcPr>
              <w:p w14:paraId="1D60898B" w14:textId="69BF228B" w:rsidR="00727AEB" w:rsidRDefault="00F1636D" w:rsidP="00D82C1C">
                <w:pPr>
                  <w:rPr>
                    <w:rFonts w:asciiTheme="majorHAnsi" w:hAnsiTheme="majorHAnsi" w:cstheme="majorHAnsi"/>
                    <w:color w:val="000004"/>
                    <w:sz w:val="24"/>
                    <w:szCs w:val="24"/>
                  </w:rPr>
                </w:pPr>
                <w:r w:rsidRPr="00743288">
                  <w:rPr>
                    <w:rFonts w:asciiTheme="majorHAnsi" w:hAnsiTheme="majorHAnsi" w:cstheme="majorHAnsi"/>
                    <w:color w:val="000004"/>
                    <w:sz w:val="24"/>
                    <w:szCs w:val="24"/>
                  </w:rPr>
                  <w:t>Promotion Criteria</w:t>
                </w:r>
              </w:p>
              <w:p w14:paraId="7CC1FE72" w14:textId="5AFF2919" w:rsidR="00AF3DC3" w:rsidRPr="00AF3DC3" w:rsidRDefault="00AF3DC3" w:rsidP="00AF3DC3">
                <w:pPr>
                  <w:rPr>
                    <w:rFonts w:asciiTheme="majorHAnsi" w:hAnsiTheme="majorHAnsi" w:cstheme="majorHAnsi"/>
                    <w:color w:val="000004"/>
                    <w:sz w:val="24"/>
                    <w:szCs w:val="24"/>
                  </w:rPr>
                </w:pPr>
              </w:p>
              <w:p w14:paraId="6F0D2526" w14:textId="77777777" w:rsidR="00AF3DC3" w:rsidRPr="00AF3DC3" w:rsidRDefault="00AF3DC3" w:rsidP="00AF3DC3">
                <w:pPr>
                  <w:pStyle w:val="ListParagraph"/>
                  <w:numPr>
                    <w:ilvl w:val="0"/>
                    <w:numId w:val="36"/>
                  </w:numPr>
                  <w:rPr>
                    <w:rFonts w:asciiTheme="majorHAnsi" w:hAnsiTheme="majorHAnsi" w:cstheme="majorHAnsi"/>
                    <w:color w:val="000004"/>
                    <w:sz w:val="24"/>
                    <w:szCs w:val="24"/>
                  </w:rPr>
                </w:pPr>
              </w:p>
              <w:p w14:paraId="5BF73DB7" w14:textId="766E1A9C" w:rsidR="00F1636D" w:rsidRPr="00743288" w:rsidRDefault="00F1636D" w:rsidP="00743288">
                <w:pPr>
                  <w:rPr>
                    <w:rFonts w:asciiTheme="majorHAnsi" w:hAnsiTheme="majorHAnsi" w:cstheme="majorHAnsi"/>
                    <w:color w:val="000004"/>
                    <w:sz w:val="24"/>
                    <w:szCs w:val="24"/>
                  </w:rPr>
                </w:pPr>
              </w:p>
            </w:tc>
          </w:tr>
        </w:tbl>
        <w:p w14:paraId="6C4FBD25" w14:textId="77777777" w:rsidR="009477B2" w:rsidRPr="00743288" w:rsidRDefault="009477B2" w:rsidP="00D82C1C">
          <w:pPr>
            <w:spacing w:line="240" w:lineRule="auto"/>
            <w:rPr>
              <w:rFonts w:asciiTheme="majorHAnsi" w:eastAsia="Calibri" w:hAnsiTheme="majorHAnsi" w:cstheme="majorHAnsi"/>
              <w:color w:val="000004"/>
              <w:sz w:val="24"/>
              <w:szCs w:val="24"/>
            </w:rPr>
          </w:pPr>
        </w:p>
        <w:p w14:paraId="1DD35E26" w14:textId="77777777" w:rsidR="002A7DDE" w:rsidRPr="00743288" w:rsidRDefault="002A7DDE" w:rsidP="00D82C1C">
          <w:pPr>
            <w:spacing w:line="240" w:lineRule="auto"/>
            <w:rPr>
              <w:rFonts w:asciiTheme="majorHAnsi" w:eastAsia="Calibri" w:hAnsiTheme="majorHAnsi" w:cstheme="majorHAnsi"/>
              <w:color w:val="000004"/>
              <w:sz w:val="24"/>
              <w:szCs w:val="24"/>
            </w:rPr>
          </w:pPr>
        </w:p>
        <w:p w14:paraId="38C13FF8" w14:textId="0321D90C" w:rsidR="00296580" w:rsidRPr="00743288" w:rsidRDefault="00743288" w:rsidP="00743288">
          <w:pPr>
            <w:spacing w:line="240" w:lineRule="auto"/>
            <w:ind w:left="1260"/>
            <w:rPr>
              <w:rFonts w:asciiTheme="majorHAnsi" w:eastAsia="Calibri" w:hAnsiTheme="majorHAnsi" w:cstheme="majorHAnsi"/>
              <w:b/>
              <w:color w:val="000004"/>
              <w:sz w:val="24"/>
              <w:szCs w:val="24"/>
            </w:rPr>
          </w:pPr>
          <w:r w:rsidRPr="00743288">
            <w:rPr>
              <w:rFonts w:asciiTheme="majorHAnsi" w:eastAsia="Calibri" w:hAnsiTheme="majorHAnsi" w:cstheme="majorHAnsi"/>
              <w:b/>
              <w:color w:val="000004"/>
              <w:sz w:val="24"/>
              <w:szCs w:val="24"/>
            </w:rPr>
            <w:t>Unit and College Approval</w:t>
          </w:r>
        </w:p>
        <w:tbl>
          <w:tblPr>
            <w:tblStyle w:val="TableGrid1"/>
            <w:tblW w:w="0" w:type="auto"/>
            <w:tblInd w:w="1255" w:type="dxa"/>
            <w:tblLayout w:type="fixed"/>
            <w:tblLook w:val="04A0" w:firstRow="1" w:lastRow="0" w:firstColumn="1" w:lastColumn="0" w:noHBand="0" w:noVBand="1"/>
          </w:tblPr>
          <w:tblGrid>
            <w:gridCol w:w="3690"/>
            <w:gridCol w:w="270"/>
            <w:gridCol w:w="5850"/>
          </w:tblGrid>
          <w:tr w:rsidR="00743288" w:rsidRPr="00743288" w14:paraId="1E1F5C46" w14:textId="77777777" w:rsidTr="00583786">
            <w:trPr>
              <w:trHeight w:hRule="exact" w:val="720"/>
            </w:trPr>
            <w:tc>
              <w:tcPr>
                <w:tcW w:w="3690" w:type="dxa"/>
              </w:tcPr>
              <w:p w14:paraId="36A4283C" w14:textId="1794D87C" w:rsidR="00743288" w:rsidRPr="00743288" w:rsidRDefault="00743288" w:rsidP="00EA7078">
                <w:pPr>
                  <w:rPr>
                    <w:rFonts w:asciiTheme="majorHAnsi" w:hAnsiTheme="majorHAnsi" w:cstheme="majorHAnsi"/>
                    <w:color w:val="000004"/>
                    <w:sz w:val="24"/>
                    <w:szCs w:val="24"/>
                  </w:rPr>
                </w:pPr>
                <w:r w:rsidRPr="00743288">
                  <w:rPr>
                    <w:rFonts w:asciiTheme="majorHAnsi" w:hAnsiTheme="majorHAnsi" w:cstheme="majorHAnsi"/>
                    <w:b/>
                    <w:color w:val="000004"/>
                    <w:sz w:val="24"/>
                    <w:szCs w:val="24"/>
                  </w:rPr>
                  <w:t>Date of approval by the faculty</w:t>
                </w:r>
              </w:p>
            </w:tc>
            <w:tc>
              <w:tcPr>
                <w:tcW w:w="270" w:type="dxa"/>
                <w:tcBorders>
                  <w:right w:val="nil"/>
                </w:tcBorders>
              </w:tcPr>
              <w:p w14:paraId="3ACE80A9" w14:textId="77777777" w:rsidR="00743288" w:rsidRPr="00743288" w:rsidRDefault="00743288" w:rsidP="00EA7078">
                <w:pPr>
                  <w:rPr>
                    <w:rFonts w:asciiTheme="majorHAnsi" w:hAnsiTheme="majorHAnsi" w:cstheme="majorHAnsi"/>
                    <w:color w:val="000004"/>
                    <w:sz w:val="24"/>
                    <w:szCs w:val="24"/>
                  </w:rPr>
                </w:pPr>
              </w:p>
            </w:tc>
            <w:tc>
              <w:tcPr>
                <w:tcW w:w="5850" w:type="dxa"/>
                <w:tcBorders>
                  <w:left w:val="nil"/>
                  <w:bottom w:val="single" w:sz="4" w:space="0" w:color="auto"/>
                </w:tcBorders>
              </w:tcPr>
              <w:p w14:paraId="52A8505A" w14:textId="30DA1E70" w:rsidR="00743288" w:rsidRPr="00743288" w:rsidRDefault="00743288" w:rsidP="00583786">
                <w:pPr>
                  <w:rPr>
                    <w:rFonts w:asciiTheme="majorHAnsi" w:hAnsiTheme="majorHAnsi" w:cstheme="majorHAnsi"/>
                    <w:color w:val="000004"/>
                    <w:sz w:val="24"/>
                    <w:szCs w:val="24"/>
                  </w:rPr>
                </w:pPr>
                <w:r w:rsidRPr="00743288">
                  <w:rPr>
                    <w:rFonts w:asciiTheme="majorHAnsi" w:hAnsiTheme="majorHAnsi" w:cstheme="majorHAnsi"/>
                    <w:color w:val="000004"/>
                    <w:sz w:val="24"/>
                    <w:szCs w:val="24"/>
                  </w:rPr>
                  <w:t>March 20,</w:t>
                </w:r>
                <w:r w:rsidRPr="00743288">
                  <w:rPr>
                    <w:rFonts w:asciiTheme="majorHAnsi" w:hAnsiTheme="majorHAnsi" w:cstheme="majorHAnsi"/>
                    <w:color w:val="000004"/>
                    <w:sz w:val="24"/>
                    <w:szCs w:val="24"/>
                    <w:vertAlign w:val="superscript"/>
                  </w:rPr>
                  <w:t xml:space="preserve"> </w:t>
                </w:r>
                <w:r w:rsidRPr="00743288">
                  <w:rPr>
                    <w:rFonts w:asciiTheme="majorHAnsi" w:hAnsiTheme="majorHAnsi" w:cstheme="majorHAnsi"/>
                    <w:color w:val="000004"/>
                    <w:sz w:val="24"/>
                    <w:szCs w:val="24"/>
                  </w:rPr>
                  <w:t>2024</w:t>
                </w:r>
              </w:p>
            </w:tc>
          </w:tr>
          <w:tr w:rsidR="00743288" w:rsidRPr="00743288" w14:paraId="3BC4E1FE" w14:textId="77777777" w:rsidTr="00583786">
            <w:trPr>
              <w:trHeight w:hRule="exact" w:val="720"/>
            </w:trPr>
            <w:tc>
              <w:tcPr>
                <w:tcW w:w="3690" w:type="dxa"/>
              </w:tcPr>
              <w:p w14:paraId="34239929" w14:textId="646757F2" w:rsidR="00743288" w:rsidRPr="00743288" w:rsidRDefault="00743288" w:rsidP="00743288">
                <w:pPr>
                  <w:spacing w:before="100" w:beforeAutospacing="1"/>
                  <w:rPr>
                    <w:rFonts w:asciiTheme="majorHAnsi" w:hAnsiTheme="majorHAnsi" w:cstheme="majorHAnsi"/>
                    <w:color w:val="000004"/>
                    <w:sz w:val="24"/>
                    <w:szCs w:val="24"/>
                  </w:rPr>
                </w:pPr>
                <w:r w:rsidRPr="00743288">
                  <w:rPr>
                    <w:rFonts w:asciiTheme="majorHAnsi" w:hAnsiTheme="majorHAnsi" w:cstheme="majorHAnsi"/>
                    <w:b/>
                    <w:color w:val="000004"/>
                    <w:sz w:val="24"/>
                    <w:szCs w:val="24"/>
                  </w:rPr>
                  <w:t>Date of review by the dean</w:t>
                </w:r>
              </w:p>
            </w:tc>
            <w:tc>
              <w:tcPr>
                <w:tcW w:w="270" w:type="dxa"/>
                <w:tcBorders>
                  <w:right w:val="nil"/>
                </w:tcBorders>
              </w:tcPr>
              <w:p w14:paraId="41A0FB5A" w14:textId="77777777" w:rsidR="00743288" w:rsidRPr="00743288" w:rsidRDefault="00743288" w:rsidP="00EA7078">
                <w:pPr>
                  <w:rPr>
                    <w:rFonts w:asciiTheme="majorHAnsi" w:hAnsiTheme="majorHAnsi" w:cstheme="majorHAnsi"/>
                    <w:color w:val="000004"/>
                    <w:sz w:val="24"/>
                    <w:szCs w:val="24"/>
                  </w:rPr>
                </w:pPr>
              </w:p>
            </w:tc>
            <w:tc>
              <w:tcPr>
                <w:tcW w:w="5850" w:type="dxa"/>
                <w:tcBorders>
                  <w:left w:val="nil"/>
                </w:tcBorders>
              </w:tcPr>
              <w:p w14:paraId="6A434733" w14:textId="1F2AA24C" w:rsidR="00743288" w:rsidRPr="00743288" w:rsidRDefault="00743288" w:rsidP="00583786">
                <w:pPr>
                  <w:rPr>
                    <w:rFonts w:asciiTheme="majorHAnsi" w:hAnsiTheme="majorHAnsi" w:cstheme="majorHAnsi"/>
                    <w:color w:val="000004"/>
                    <w:sz w:val="24"/>
                    <w:szCs w:val="24"/>
                  </w:rPr>
                </w:pPr>
                <w:r w:rsidRPr="00743288">
                  <w:rPr>
                    <w:rFonts w:asciiTheme="majorHAnsi" w:hAnsiTheme="majorHAnsi" w:cstheme="majorHAnsi"/>
                    <w:color w:val="000004"/>
                    <w:sz w:val="24"/>
                    <w:szCs w:val="24"/>
                  </w:rPr>
                  <w:t>May 17, 2024</w:t>
                </w:r>
              </w:p>
              <w:p w14:paraId="1FF95880" w14:textId="7F5E7A4E" w:rsidR="00743288" w:rsidRPr="00743288" w:rsidRDefault="00743288" w:rsidP="00583786">
                <w:pPr>
                  <w:ind w:left="375"/>
                  <w:rPr>
                    <w:rFonts w:asciiTheme="majorHAnsi" w:hAnsiTheme="majorHAnsi" w:cstheme="majorHAnsi"/>
                    <w:color w:val="000004"/>
                    <w:sz w:val="24"/>
                    <w:szCs w:val="24"/>
                  </w:rPr>
                </w:pPr>
              </w:p>
            </w:tc>
          </w:tr>
        </w:tbl>
        <w:p w14:paraId="19F290BD" w14:textId="24ADDB0D" w:rsidR="00727AEB" w:rsidRPr="00743288" w:rsidRDefault="00727AEB" w:rsidP="00743288">
          <w:pPr>
            <w:spacing w:line="240" w:lineRule="auto"/>
            <w:ind w:left="900" w:right="990" w:hanging="900"/>
            <w:rPr>
              <w:rFonts w:asciiTheme="majorHAnsi" w:eastAsia="Calibri" w:hAnsiTheme="majorHAnsi" w:cstheme="majorHAnsi"/>
              <w:b/>
              <w:color w:val="000004"/>
            </w:rPr>
          </w:pPr>
        </w:p>
        <w:p w14:paraId="5D34B7E1" w14:textId="77777777" w:rsidR="00727AEB" w:rsidRPr="00743288" w:rsidRDefault="00727AEB" w:rsidP="00727AEB">
          <w:pPr>
            <w:spacing w:line="240" w:lineRule="auto"/>
            <w:rPr>
              <w:rFonts w:asciiTheme="majorHAnsi" w:eastAsia="Calibri" w:hAnsiTheme="majorHAnsi" w:cstheme="majorHAnsi"/>
              <w:b/>
              <w:color w:val="000004"/>
              <w:sz w:val="24"/>
              <w:szCs w:val="24"/>
            </w:rPr>
          </w:pPr>
        </w:p>
        <w:p w14:paraId="1A4E280F" w14:textId="77777777" w:rsidR="00583786" w:rsidRPr="00583786" w:rsidRDefault="00583786" w:rsidP="00583786">
          <w:pPr>
            <w:spacing w:line="240" w:lineRule="auto"/>
            <w:ind w:left="1170"/>
            <w:rPr>
              <w:rFonts w:asciiTheme="majorHAnsi" w:eastAsia="Calibri" w:hAnsiTheme="majorHAnsi" w:cstheme="majorHAnsi"/>
              <w:b/>
              <w:color w:val="000004"/>
              <w:sz w:val="24"/>
              <w:szCs w:val="24"/>
            </w:rPr>
          </w:pPr>
          <w:r w:rsidRPr="00583786">
            <w:rPr>
              <w:rFonts w:asciiTheme="majorHAnsi" w:eastAsia="Calibri" w:hAnsiTheme="majorHAnsi" w:cstheme="majorHAnsi"/>
              <w:b/>
              <w:color w:val="000004"/>
              <w:sz w:val="24"/>
              <w:szCs w:val="24"/>
            </w:rPr>
            <w:t>Provost office approval</w:t>
          </w:r>
        </w:p>
        <w:tbl>
          <w:tblPr>
            <w:tblStyle w:val="TableGrid"/>
            <w:tblW w:w="0" w:type="auto"/>
            <w:tblInd w:w="1255" w:type="dxa"/>
            <w:tblLook w:val="04A0" w:firstRow="1" w:lastRow="0" w:firstColumn="1" w:lastColumn="0" w:noHBand="0" w:noVBand="1"/>
          </w:tblPr>
          <w:tblGrid>
            <w:gridCol w:w="8028"/>
            <w:gridCol w:w="1782"/>
          </w:tblGrid>
          <w:tr w:rsidR="00583786" w:rsidRPr="00583786" w14:paraId="43082128" w14:textId="77777777" w:rsidTr="00583786">
            <w:trPr>
              <w:trHeight w:val="720"/>
            </w:trPr>
            <w:tc>
              <w:tcPr>
                <w:tcW w:w="8028" w:type="dxa"/>
                <w:tcBorders>
                  <w:top w:val="single" w:sz="4" w:space="0" w:color="auto"/>
                  <w:left w:val="single" w:sz="4" w:space="0" w:color="auto"/>
                  <w:bottom w:val="single" w:sz="4" w:space="0" w:color="auto"/>
                  <w:right w:val="single" w:sz="4" w:space="0" w:color="auto"/>
                </w:tcBorders>
              </w:tcPr>
              <w:p w14:paraId="43639167" w14:textId="77777777" w:rsidR="00583786" w:rsidRPr="00583786" w:rsidRDefault="00583786" w:rsidP="00583786">
                <w:pPr>
                  <w:rPr>
                    <w:rFonts w:asciiTheme="majorHAnsi" w:eastAsia="Calibri" w:hAnsiTheme="majorHAnsi" w:cstheme="majorHAnsi"/>
                    <w:b/>
                    <w:color w:val="000004"/>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DCE00F8" w14:textId="77777777" w:rsidR="00583786" w:rsidRPr="00583786" w:rsidRDefault="00583786" w:rsidP="00583786">
                <w:pPr>
                  <w:rPr>
                    <w:rFonts w:asciiTheme="majorHAnsi" w:eastAsia="Calibri" w:hAnsiTheme="majorHAnsi" w:cstheme="majorHAnsi"/>
                    <w:b/>
                    <w:color w:val="000004"/>
                    <w:sz w:val="24"/>
                    <w:szCs w:val="24"/>
                  </w:rPr>
                </w:pPr>
              </w:p>
            </w:tc>
          </w:tr>
          <w:tr w:rsidR="00583786" w:rsidRPr="00583786" w14:paraId="60A73658" w14:textId="77777777" w:rsidTr="00583786">
            <w:trPr>
              <w:trHeight w:val="720"/>
            </w:trPr>
            <w:tc>
              <w:tcPr>
                <w:tcW w:w="8028" w:type="dxa"/>
                <w:tcBorders>
                  <w:top w:val="single" w:sz="4" w:space="0" w:color="auto"/>
                  <w:left w:val="single" w:sz="4" w:space="0" w:color="auto"/>
                  <w:bottom w:val="single" w:sz="4" w:space="0" w:color="auto"/>
                  <w:right w:val="single" w:sz="4" w:space="0" w:color="auto"/>
                </w:tcBorders>
                <w:hideMark/>
              </w:tcPr>
              <w:p w14:paraId="29ECC710" w14:textId="77777777" w:rsidR="00583786" w:rsidRPr="00583786" w:rsidRDefault="00583786" w:rsidP="00583786">
                <w:pPr>
                  <w:rPr>
                    <w:rFonts w:asciiTheme="majorHAnsi" w:eastAsia="Calibri" w:hAnsiTheme="majorHAnsi" w:cstheme="majorHAnsi"/>
                    <w:b/>
                    <w:color w:val="000004"/>
                    <w:sz w:val="24"/>
                    <w:szCs w:val="24"/>
                  </w:rPr>
                </w:pPr>
                <w:r w:rsidRPr="00583786">
                  <w:rPr>
                    <w:rFonts w:asciiTheme="majorHAnsi" w:eastAsia="Calibri" w:hAnsiTheme="majorHAnsi" w:cstheme="majorHAnsi"/>
                    <w:b/>
                    <w:color w:val="000004"/>
                    <w:sz w:val="24"/>
                    <w:szCs w:val="24"/>
                  </w:rPr>
                  <w:t>Vice Provost for Academic Personnel</w:t>
                </w:r>
              </w:p>
            </w:tc>
            <w:tc>
              <w:tcPr>
                <w:tcW w:w="1782" w:type="dxa"/>
                <w:tcBorders>
                  <w:top w:val="single" w:sz="4" w:space="0" w:color="auto"/>
                  <w:left w:val="single" w:sz="4" w:space="0" w:color="auto"/>
                  <w:bottom w:val="single" w:sz="4" w:space="0" w:color="auto"/>
                  <w:right w:val="single" w:sz="4" w:space="0" w:color="auto"/>
                </w:tcBorders>
                <w:hideMark/>
              </w:tcPr>
              <w:p w14:paraId="7B9D67E2" w14:textId="77777777" w:rsidR="00583786" w:rsidRPr="00583786" w:rsidRDefault="00583786" w:rsidP="00583786">
                <w:pPr>
                  <w:rPr>
                    <w:rFonts w:asciiTheme="majorHAnsi" w:eastAsia="Calibri" w:hAnsiTheme="majorHAnsi" w:cstheme="majorHAnsi"/>
                    <w:b/>
                    <w:color w:val="000004"/>
                    <w:sz w:val="24"/>
                    <w:szCs w:val="24"/>
                  </w:rPr>
                </w:pPr>
                <w:r w:rsidRPr="00583786">
                  <w:rPr>
                    <w:rFonts w:asciiTheme="majorHAnsi" w:eastAsia="Calibri" w:hAnsiTheme="majorHAnsi" w:cstheme="majorHAnsi"/>
                    <w:b/>
                    <w:color w:val="000004"/>
                    <w:sz w:val="24"/>
                    <w:szCs w:val="24"/>
                  </w:rPr>
                  <w:t>Date</w:t>
                </w:r>
              </w:p>
            </w:tc>
          </w:tr>
        </w:tbl>
        <w:p w14:paraId="01C56A22" w14:textId="1AF6ADF6" w:rsidR="00B3741E" w:rsidRPr="003C2A27" w:rsidRDefault="00D82C1C" w:rsidP="00583786">
          <w:pPr>
            <w:spacing w:line="240" w:lineRule="auto"/>
            <w:ind w:left="10980" w:hanging="3870"/>
            <w:jc w:val="center"/>
            <w:rPr>
              <w:sz w:val="20"/>
              <w:szCs w:val="16"/>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1" locked="0" layoutInCell="1" allowOverlap="1" wp14:anchorId="132FECF9" wp14:editId="438B4F44">
                    <wp:simplePos x="0" y="0"/>
                    <wp:positionH relativeFrom="column">
                      <wp:posOffset>457200</wp:posOffset>
                    </wp:positionH>
                    <wp:positionV relativeFrom="paragraph">
                      <wp:posOffset>2724149</wp:posOffset>
                    </wp:positionV>
                    <wp:extent cx="6858000" cy="55149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51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21873" w14:textId="2147E9FF" w:rsidR="00413B90" w:rsidRDefault="00413B90">
                                <w:pPr>
                                  <w:pStyle w:val="NoSpacing"/>
                                  <w:spacing w:before="240"/>
                                  <w:rPr>
                                    <w:caps/>
                                    <w:color w:val="1F497D"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2FECF9" id="_x0000_t202" coordsize="21600,21600" o:spt="202" path="m,l,21600r21600,l21600,xe">
                    <v:stroke joinstyle="miter"/>
                    <v:path gradientshapeok="t" o:connecttype="rect"/>
                  </v:shapetype>
                  <v:shape id="Text Box 122" o:spid="_x0000_s1026" type="#_x0000_t202" style="position:absolute;left:0;text-align:left;margin-left:36pt;margin-top:214.5pt;width:540pt;height:43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" filled="f" stroked="f" strokeweight=".5pt">
                    <v:textbox inset="36pt,36pt,36pt,36pt">
                      <w:txbxContent>
                        <w:p w14:paraId="4A121873" w14:textId="2147E9FF" w:rsidR="00413B90" w:rsidRDefault="00413B90">
                          <w:pPr>
                            <w:pStyle w:val="NoSpacing"/>
                            <w:spacing w:before="240"/>
                            <w:rPr>
                              <w:caps/>
                              <w:color w:val="1F497D" w:themeColor="text2"/>
                              <w:sz w:val="36"/>
                              <w:szCs w:val="36"/>
                            </w:rPr>
                          </w:pPr>
                        </w:p>
                      </w:txbxContent>
                    </v:textbox>
                  </v:shape>
                </w:pict>
              </mc:Fallback>
            </mc:AlternateContent>
          </w:r>
        </w:p>
      </w:sdtContent>
    </w:sdt>
    <w:p w14:paraId="2EAE312F" w14:textId="77777777" w:rsidR="00A97B0A" w:rsidRDefault="00A97B0A" w:rsidP="00A97B0A">
      <w:pPr>
        <w:pStyle w:val="Heading1"/>
        <w:spacing w:before="0" w:after="0" w:line="480" w:lineRule="auto"/>
        <w:ind w:left="720" w:right="1440"/>
        <w:rPr>
          <w:rFonts w:ascii="Times New Roman" w:eastAsia="Times New Roman" w:hAnsi="Times New Roman" w:cs="Times New Roman"/>
        </w:rPr>
        <w:sectPr w:rsidR="00A97B0A" w:rsidSect="00583786">
          <w:headerReference w:type="default" r:id="rId8"/>
          <w:footerReference w:type="even" r:id="rId9"/>
          <w:footerReference w:type="default" r:id="rId10"/>
          <w:pgSz w:w="12240" w:h="15840"/>
          <w:pgMar w:top="1440" w:right="0" w:bottom="1440" w:left="180" w:header="720" w:footer="225" w:gutter="0"/>
          <w:pgNumType w:start="0"/>
          <w:cols w:space="720"/>
        </w:sectPr>
      </w:pPr>
      <w:bookmarkStart w:id="0" w:name="_b106tpgrztq6" w:colFirst="0" w:colLast="0"/>
      <w:bookmarkEnd w:id="0"/>
    </w:p>
    <w:p w14:paraId="364468AD" w14:textId="77777777" w:rsidR="000234B1" w:rsidRDefault="000234B1" w:rsidP="00A97B0A">
      <w:pPr>
        <w:pStyle w:val="Heading1"/>
        <w:spacing w:before="0" w:after="0" w:line="480" w:lineRule="auto"/>
        <w:ind w:left="1350" w:right="1440"/>
        <w:rPr>
          <w:rFonts w:ascii="Times New Roman" w:eastAsia="Times New Roman" w:hAnsi="Times New Roman" w:cs="Times New Roman"/>
        </w:rPr>
      </w:pPr>
      <w:r>
        <w:rPr>
          <w:rFonts w:ascii="Times New Roman" w:eastAsia="Times New Roman" w:hAnsi="Times New Roman" w:cs="Times New Roman"/>
        </w:rPr>
        <w:lastRenderedPageBreak/>
        <w:t>Table of Contents</w:t>
      </w:r>
    </w:p>
    <w:p w14:paraId="1F843AE7" w14:textId="01BA2CB6" w:rsidR="00D03B48" w:rsidRPr="00D03B48" w:rsidRDefault="00D03B48" w:rsidP="00A95A0F">
      <w:pPr>
        <w:spacing w:line="240" w:lineRule="auto"/>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Preamble </w:t>
      </w:r>
      <w:r w:rsidR="000234B1">
        <w:rPr>
          <w:rFonts w:ascii="Times New Roman" w:hAnsi="Times New Roman" w:cs="Times New Roman"/>
          <w:b/>
          <w:bCs/>
          <w:sz w:val="24"/>
          <w:szCs w:val="24"/>
        </w:rPr>
        <w:t>1</w:t>
      </w:r>
    </w:p>
    <w:p w14:paraId="2ED4803E" w14:textId="207895BB" w:rsidR="00D03B48" w:rsidRPr="00D03B48" w:rsidRDefault="00D03B48" w:rsidP="00A95A0F">
      <w:pPr>
        <w:spacing w:line="240" w:lineRule="auto"/>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1.0 Purpose </w:t>
      </w:r>
      <w:r w:rsidR="000234B1">
        <w:rPr>
          <w:rFonts w:ascii="Times New Roman" w:hAnsi="Times New Roman" w:cs="Times New Roman"/>
          <w:b/>
          <w:bCs/>
          <w:sz w:val="24"/>
          <w:szCs w:val="24"/>
        </w:rPr>
        <w:t>1</w:t>
      </w:r>
    </w:p>
    <w:p w14:paraId="29489993" w14:textId="1A2C42A7"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2.0 Definitions </w:t>
      </w:r>
      <w:r w:rsidR="000234B1">
        <w:rPr>
          <w:rFonts w:ascii="Times New Roman" w:hAnsi="Times New Roman" w:cs="Times New Roman"/>
          <w:b/>
          <w:bCs/>
          <w:sz w:val="24"/>
          <w:szCs w:val="24"/>
        </w:rPr>
        <w:t>2</w:t>
      </w:r>
    </w:p>
    <w:p w14:paraId="61386814" w14:textId="0864068C"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2.1 Faculty </w:t>
      </w:r>
      <w:r w:rsidR="000234B1">
        <w:rPr>
          <w:rFonts w:ascii="Times New Roman" w:hAnsi="Times New Roman" w:cs="Times New Roman"/>
          <w:b/>
          <w:bCs/>
          <w:sz w:val="24"/>
          <w:szCs w:val="24"/>
        </w:rPr>
        <w:t>2</w:t>
      </w:r>
    </w:p>
    <w:p w14:paraId="4BFDB2A3" w14:textId="62007FCE"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2.2 Standards </w:t>
      </w:r>
      <w:r w:rsidR="000234B1">
        <w:rPr>
          <w:rFonts w:ascii="Times New Roman" w:hAnsi="Times New Roman" w:cs="Times New Roman"/>
          <w:b/>
          <w:bCs/>
          <w:sz w:val="24"/>
          <w:szCs w:val="24"/>
        </w:rPr>
        <w:t>2</w:t>
      </w:r>
    </w:p>
    <w:p w14:paraId="5EBAFC37" w14:textId="34C0AB2D"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2.2.1 Scholarship </w:t>
      </w:r>
      <w:r w:rsidR="00084B10">
        <w:rPr>
          <w:rFonts w:ascii="Times New Roman" w:hAnsi="Times New Roman" w:cs="Times New Roman"/>
          <w:b/>
          <w:bCs/>
          <w:sz w:val="24"/>
          <w:szCs w:val="24"/>
        </w:rPr>
        <w:t>3</w:t>
      </w:r>
    </w:p>
    <w:p w14:paraId="466AC47D" w14:textId="14734A36"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2.2.1.1 Guiding Principles</w:t>
      </w:r>
      <w:r>
        <w:rPr>
          <w:rFonts w:ascii="Times New Roman" w:hAnsi="Times New Roman" w:cs="Times New Roman"/>
          <w:sz w:val="24"/>
          <w:szCs w:val="24"/>
        </w:rPr>
        <w:t xml:space="preserve"> </w:t>
      </w:r>
      <w:r w:rsidR="00084B10">
        <w:rPr>
          <w:rFonts w:ascii="Times New Roman" w:hAnsi="Times New Roman" w:cs="Times New Roman"/>
          <w:sz w:val="24"/>
          <w:szCs w:val="24"/>
        </w:rPr>
        <w:t>3</w:t>
      </w:r>
    </w:p>
    <w:p w14:paraId="0900C894" w14:textId="441EFC72"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2.2.1.2 Academic Leadership in Scholarship</w:t>
      </w:r>
      <w:r w:rsidRPr="00D03B48">
        <w:rPr>
          <w:rFonts w:ascii="Times New Roman" w:hAnsi="Times New Roman" w:cs="Times New Roman"/>
          <w:sz w:val="24"/>
          <w:szCs w:val="24"/>
        </w:rPr>
        <w:tab/>
      </w:r>
      <w:r>
        <w:rPr>
          <w:rFonts w:ascii="Times New Roman" w:hAnsi="Times New Roman" w:cs="Times New Roman"/>
          <w:sz w:val="24"/>
          <w:szCs w:val="24"/>
        </w:rPr>
        <w:t xml:space="preserve"> </w:t>
      </w:r>
      <w:r w:rsidR="000234B1">
        <w:rPr>
          <w:rFonts w:ascii="Times New Roman" w:hAnsi="Times New Roman" w:cs="Times New Roman"/>
          <w:sz w:val="24"/>
          <w:szCs w:val="24"/>
        </w:rPr>
        <w:t>4</w:t>
      </w:r>
    </w:p>
    <w:p w14:paraId="7E1B8F15" w14:textId="007FF1B7"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2.2.2 Teaching </w:t>
      </w:r>
      <w:r w:rsidR="000234B1">
        <w:rPr>
          <w:rFonts w:ascii="Times New Roman" w:hAnsi="Times New Roman" w:cs="Times New Roman"/>
          <w:b/>
          <w:bCs/>
          <w:sz w:val="24"/>
          <w:szCs w:val="24"/>
        </w:rPr>
        <w:t>5</w:t>
      </w:r>
    </w:p>
    <w:p w14:paraId="024D171D" w14:textId="14BA7073"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2.2.2.1 Guiding Principles</w:t>
      </w:r>
      <w:r>
        <w:rPr>
          <w:rFonts w:ascii="Times New Roman" w:hAnsi="Times New Roman" w:cs="Times New Roman"/>
          <w:sz w:val="24"/>
          <w:szCs w:val="24"/>
        </w:rPr>
        <w:t xml:space="preserve"> </w:t>
      </w:r>
      <w:r w:rsidR="000234B1">
        <w:rPr>
          <w:rFonts w:ascii="Times New Roman" w:hAnsi="Times New Roman" w:cs="Times New Roman"/>
          <w:sz w:val="24"/>
          <w:szCs w:val="24"/>
        </w:rPr>
        <w:t>5</w:t>
      </w:r>
    </w:p>
    <w:p w14:paraId="627C5806" w14:textId="73C78956"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2.2.2.2 Academic Leadership in Teaching</w:t>
      </w:r>
      <w:r>
        <w:rPr>
          <w:rFonts w:ascii="Times New Roman" w:hAnsi="Times New Roman" w:cs="Times New Roman"/>
          <w:sz w:val="24"/>
          <w:szCs w:val="24"/>
        </w:rPr>
        <w:t xml:space="preserve"> </w:t>
      </w:r>
      <w:r w:rsidR="000234B1">
        <w:rPr>
          <w:rFonts w:ascii="Times New Roman" w:hAnsi="Times New Roman" w:cs="Times New Roman"/>
          <w:sz w:val="24"/>
          <w:szCs w:val="24"/>
        </w:rPr>
        <w:t>6</w:t>
      </w:r>
    </w:p>
    <w:p w14:paraId="5749C9A1" w14:textId="741297F4"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2.2.3 Service </w:t>
      </w:r>
      <w:r w:rsidR="00084B10">
        <w:rPr>
          <w:rFonts w:ascii="Times New Roman" w:hAnsi="Times New Roman" w:cs="Times New Roman"/>
          <w:b/>
          <w:bCs/>
          <w:sz w:val="24"/>
          <w:szCs w:val="24"/>
        </w:rPr>
        <w:t>6</w:t>
      </w:r>
    </w:p>
    <w:p w14:paraId="44C9021A" w14:textId="5926F74E"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2.2.3.1 Guiding Principles</w:t>
      </w:r>
      <w:r>
        <w:rPr>
          <w:rFonts w:ascii="Times New Roman" w:hAnsi="Times New Roman" w:cs="Times New Roman"/>
          <w:sz w:val="24"/>
          <w:szCs w:val="24"/>
        </w:rPr>
        <w:t xml:space="preserve"> </w:t>
      </w:r>
      <w:r w:rsidR="00084B10">
        <w:rPr>
          <w:rFonts w:ascii="Times New Roman" w:hAnsi="Times New Roman" w:cs="Times New Roman"/>
          <w:sz w:val="24"/>
          <w:szCs w:val="24"/>
        </w:rPr>
        <w:t>6</w:t>
      </w:r>
    </w:p>
    <w:p w14:paraId="6E626666" w14:textId="48ECA5F9"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2.2.3.2 Academic Leadership in Service</w:t>
      </w:r>
      <w:r>
        <w:rPr>
          <w:rFonts w:ascii="Times New Roman" w:hAnsi="Times New Roman" w:cs="Times New Roman"/>
          <w:sz w:val="24"/>
          <w:szCs w:val="24"/>
        </w:rPr>
        <w:t xml:space="preserve"> </w:t>
      </w:r>
      <w:r w:rsidR="000234B1">
        <w:rPr>
          <w:rFonts w:ascii="Times New Roman" w:hAnsi="Times New Roman" w:cs="Times New Roman"/>
          <w:sz w:val="24"/>
          <w:szCs w:val="24"/>
        </w:rPr>
        <w:t>8</w:t>
      </w:r>
    </w:p>
    <w:p w14:paraId="4FFF57C8" w14:textId="5479FDFA"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3.0 Evaluation </w:t>
      </w:r>
      <w:r w:rsidR="000234B1">
        <w:rPr>
          <w:rFonts w:ascii="Times New Roman" w:hAnsi="Times New Roman" w:cs="Times New Roman"/>
          <w:b/>
          <w:bCs/>
          <w:sz w:val="24"/>
          <w:szCs w:val="24"/>
        </w:rPr>
        <w:t>8</w:t>
      </w:r>
    </w:p>
    <w:p w14:paraId="11D76FE5" w14:textId="1BD23EF1"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3.1 Annual Goals</w:t>
      </w:r>
      <w:r>
        <w:rPr>
          <w:rFonts w:ascii="Times New Roman" w:hAnsi="Times New Roman" w:cs="Times New Roman"/>
          <w:sz w:val="24"/>
          <w:szCs w:val="24"/>
        </w:rPr>
        <w:t xml:space="preserve"> </w:t>
      </w:r>
      <w:r w:rsidR="00084B10">
        <w:rPr>
          <w:rFonts w:ascii="Times New Roman" w:hAnsi="Times New Roman" w:cs="Times New Roman"/>
          <w:sz w:val="24"/>
          <w:szCs w:val="24"/>
        </w:rPr>
        <w:t>9</w:t>
      </w:r>
    </w:p>
    <w:p w14:paraId="10EC6EAC" w14:textId="24D550FF"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3.2 Annual Performance Evaluation</w:t>
      </w:r>
      <w:r>
        <w:rPr>
          <w:rFonts w:ascii="Times New Roman" w:hAnsi="Times New Roman" w:cs="Times New Roman"/>
          <w:sz w:val="24"/>
          <w:szCs w:val="24"/>
        </w:rPr>
        <w:t xml:space="preserve"> </w:t>
      </w:r>
      <w:r w:rsidR="00084B10">
        <w:rPr>
          <w:rFonts w:ascii="Times New Roman" w:hAnsi="Times New Roman" w:cs="Times New Roman"/>
          <w:sz w:val="24"/>
          <w:szCs w:val="24"/>
        </w:rPr>
        <w:t>9</w:t>
      </w:r>
    </w:p>
    <w:p w14:paraId="595E8517" w14:textId="39A81381"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3.2.1 Evaluation Criteria and Indicators for Scholarship</w:t>
      </w:r>
      <w:r>
        <w:rPr>
          <w:rFonts w:ascii="Times New Roman" w:hAnsi="Times New Roman" w:cs="Times New Roman"/>
          <w:sz w:val="24"/>
          <w:szCs w:val="24"/>
        </w:rPr>
        <w:t xml:space="preserve"> </w:t>
      </w:r>
      <w:r w:rsidRPr="00D03B48">
        <w:rPr>
          <w:rFonts w:ascii="Times New Roman" w:hAnsi="Times New Roman" w:cs="Times New Roman"/>
          <w:sz w:val="24"/>
          <w:szCs w:val="24"/>
        </w:rPr>
        <w:t>1</w:t>
      </w:r>
      <w:r w:rsidR="00653DA5">
        <w:rPr>
          <w:rFonts w:ascii="Times New Roman" w:hAnsi="Times New Roman" w:cs="Times New Roman"/>
          <w:sz w:val="24"/>
          <w:szCs w:val="24"/>
        </w:rPr>
        <w:t>0</w:t>
      </w:r>
    </w:p>
    <w:p w14:paraId="1A249D92" w14:textId="000111BC"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3.2.2 Evaluation Criteria and Indicators for Teaching</w:t>
      </w:r>
      <w:r>
        <w:rPr>
          <w:rFonts w:ascii="Times New Roman" w:hAnsi="Times New Roman" w:cs="Times New Roman"/>
          <w:sz w:val="24"/>
          <w:szCs w:val="24"/>
        </w:rPr>
        <w:t xml:space="preserve"> </w:t>
      </w:r>
      <w:r w:rsidRPr="00D03B48">
        <w:rPr>
          <w:rFonts w:ascii="Times New Roman" w:hAnsi="Times New Roman" w:cs="Times New Roman"/>
          <w:sz w:val="24"/>
          <w:szCs w:val="24"/>
        </w:rPr>
        <w:t>1</w:t>
      </w:r>
      <w:r w:rsidR="00653DA5">
        <w:rPr>
          <w:rFonts w:ascii="Times New Roman" w:hAnsi="Times New Roman" w:cs="Times New Roman"/>
          <w:sz w:val="24"/>
          <w:szCs w:val="24"/>
        </w:rPr>
        <w:t>1</w:t>
      </w:r>
    </w:p>
    <w:p w14:paraId="09BDB831" w14:textId="441212EB"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3.2.3 Evaluation Criteria and Indicators for Service</w:t>
      </w:r>
      <w:r w:rsidRPr="00D03B48">
        <w:rPr>
          <w:rFonts w:ascii="Times New Roman" w:hAnsi="Times New Roman" w:cs="Times New Roman"/>
          <w:sz w:val="24"/>
          <w:szCs w:val="24"/>
        </w:rPr>
        <w:tab/>
        <w:t>1</w:t>
      </w:r>
      <w:r w:rsidR="00653DA5">
        <w:rPr>
          <w:rFonts w:ascii="Times New Roman" w:hAnsi="Times New Roman" w:cs="Times New Roman"/>
          <w:sz w:val="24"/>
          <w:szCs w:val="24"/>
        </w:rPr>
        <w:t>2</w:t>
      </w:r>
    </w:p>
    <w:p w14:paraId="4E4FF496" w14:textId="531C4168" w:rsidR="00D03B48" w:rsidRPr="00D03B48" w:rsidRDefault="00D03B48" w:rsidP="00D03B48">
      <w:pPr>
        <w:ind w:left="1440"/>
        <w:rPr>
          <w:rFonts w:ascii="Times New Roman" w:hAnsi="Times New Roman" w:cs="Times New Roman"/>
          <w:b/>
          <w:bCs/>
          <w:sz w:val="24"/>
          <w:szCs w:val="24"/>
        </w:rPr>
      </w:pPr>
      <w:r w:rsidRPr="00D03B48">
        <w:rPr>
          <w:rFonts w:ascii="Times New Roman" w:hAnsi="Times New Roman" w:cs="Times New Roman"/>
          <w:b/>
          <w:bCs/>
          <w:sz w:val="24"/>
          <w:szCs w:val="24"/>
        </w:rPr>
        <w:t xml:space="preserve">4.0 Processes for </w:t>
      </w:r>
      <w:r w:rsidR="00A95A0F">
        <w:rPr>
          <w:rFonts w:ascii="Times New Roman" w:hAnsi="Times New Roman" w:cs="Times New Roman"/>
          <w:b/>
          <w:bCs/>
          <w:sz w:val="24"/>
          <w:szCs w:val="24"/>
        </w:rPr>
        <w:t>Tenured/Tenure-Eligible (</w:t>
      </w:r>
      <w:r w:rsidR="00C33D78">
        <w:rPr>
          <w:rFonts w:ascii="Times New Roman" w:hAnsi="Times New Roman" w:cs="Times New Roman"/>
          <w:b/>
          <w:bCs/>
          <w:sz w:val="24"/>
          <w:szCs w:val="24"/>
        </w:rPr>
        <w:t>TTE</w:t>
      </w:r>
      <w:r w:rsidR="00A95A0F">
        <w:rPr>
          <w:rFonts w:ascii="Times New Roman" w:hAnsi="Times New Roman" w:cs="Times New Roman"/>
          <w:b/>
          <w:bCs/>
          <w:sz w:val="24"/>
          <w:szCs w:val="24"/>
        </w:rPr>
        <w:t>)</w:t>
      </w:r>
      <w:r w:rsidRPr="00D03B48">
        <w:rPr>
          <w:rFonts w:ascii="Times New Roman" w:hAnsi="Times New Roman" w:cs="Times New Roman"/>
          <w:b/>
          <w:bCs/>
          <w:sz w:val="24"/>
          <w:szCs w:val="24"/>
        </w:rPr>
        <w:t xml:space="preserve"> Faculty 14</w:t>
      </w:r>
    </w:p>
    <w:p w14:paraId="6C66EE97" w14:textId="046C8F01"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4.1 Continued Probation for</w:t>
      </w:r>
      <w:r w:rsidR="00C33D78">
        <w:rPr>
          <w:rFonts w:ascii="Times New Roman" w:hAnsi="Times New Roman" w:cs="Times New Roman"/>
          <w:sz w:val="24"/>
          <w:szCs w:val="24"/>
        </w:rPr>
        <w:t xml:space="preserve"> </w:t>
      </w:r>
      <w:r w:rsidRPr="00D03B48">
        <w:rPr>
          <w:rFonts w:ascii="Times New Roman" w:hAnsi="Times New Roman" w:cs="Times New Roman"/>
          <w:sz w:val="24"/>
          <w:szCs w:val="24"/>
        </w:rPr>
        <w:t>TTE Faculty</w:t>
      </w:r>
      <w:r w:rsidRPr="00D03B48">
        <w:rPr>
          <w:rFonts w:ascii="Times New Roman" w:hAnsi="Times New Roman" w:cs="Times New Roman"/>
          <w:sz w:val="24"/>
          <w:szCs w:val="24"/>
        </w:rPr>
        <w:tab/>
        <w:t>14</w:t>
      </w:r>
    </w:p>
    <w:p w14:paraId="43DBF75D" w14:textId="53B6BB3B"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 xml:space="preserve">4.2 Promotion and Tenure of </w:t>
      </w:r>
      <w:r w:rsidR="00C33D78" w:rsidRPr="00D03B48">
        <w:rPr>
          <w:rFonts w:ascii="Times New Roman" w:hAnsi="Times New Roman" w:cs="Times New Roman"/>
          <w:sz w:val="24"/>
          <w:szCs w:val="24"/>
        </w:rPr>
        <w:t xml:space="preserve">TTE </w:t>
      </w:r>
      <w:r w:rsidRPr="00D03B48">
        <w:rPr>
          <w:rFonts w:ascii="Times New Roman" w:hAnsi="Times New Roman" w:cs="Times New Roman"/>
          <w:sz w:val="24"/>
          <w:szCs w:val="24"/>
        </w:rPr>
        <w:t>Faculty</w:t>
      </w:r>
      <w:r w:rsidR="000234B1">
        <w:rPr>
          <w:rFonts w:ascii="Times New Roman" w:hAnsi="Times New Roman" w:cs="Times New Roman"/>
          <w:sz w:val="24"/>
          <w:szCs w:val="24"/>
        </w:rPr>
        <w:t xml:space="preserve"> </w:t>
      </w:r>
      <w:r w:rsidRPr="00D03B48">
        <w:rPr>
          <w:rFonts w:ascii="Times New Roman" w:hAnsi="Times New Roman" w:cs="Times New Roman"/>
          <w:sz w:val="24"/>
          <w:szCs w:val="24"/>
        </w:rPr>
        <w:t>14</w:t>
      </w:r>
    </w:p>
    <w:p w14:paraId="68AD82D3" w14:textId="2439A42C"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 xml:space="preserve">4.3 Sabbatical Leave for </w:t>
      </w:r>
      <w:r w:rsidR="00C33D78" w:rsidRPr="00D03B48">
        <w:rPr>
          <w:rFonts w:ascii="Times New Roman" w:hAnsi="Times New Roman" w:cs="Times New Roman"/>
          <w:sz w:val="24"/>
          <w:szCs w:val="24"/>
        </w:rPr>
        <w:t xml:space="preserve">TTE </w:t>
      </w:r>
      <w:r w:rsidRPr="00D03B48">
        <w:rPr>
          <w:rFonts w:ascii="Times New Roman" w:hAnsi="Times New Roman" w:cs="Times New Roman"/>
          <w:sz w:val="24"/>
          <w:szCs w:val="24"/>
        </w:rPr>
        <w:t>Faculty</w:t>
      </w:r>
      <w:r w:rsidR="000234B1">
        <w:rPr>
          <w:rFonts w:ascii="Times New Roman" w:hAnsi="Times New Roman" w:cs="Times New Roman"/>
          <w:sz w:val="24"/>
          <w:szCs w:val="24"/>
        </w:rPr>
        <w:t xml:space="preserve"> </w:t>
      </w:r>
      <w:r w:rsidRPr="00D03B48">
        <w:rPr>
          <w:rFonts w:ascii="Times New Roman" w:hAnsi="Times New Roman" w:cs="Times New Roman"/>
          <w:sz w:val="24"/>
          <w:szCs w:val="24"/>
        </w:rPr>
        <w:t>1</w:t>
      </w:r>
      <w:r w:rsidR="00653DA5">
        <w:rPr>
          <w:rFonts w:ascii="Times New Roman" w:hAnsi="Times New Roman" w:cs="Times New Roman"/>
          <w:sz w:val="24"/>
          <w:szCs w:val="24"/>
        </w:rPr>
        <w:t>5</w:t>
      </w:r>
    </w:p>
    <w:p w14:paraId="6380C2E6" w14:textId="525BE860"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 xml:space="preserve">4.4 Post-Tenure Review of </w:t>
      </w:r>
      <w:r w:rsidR="00C33D78" w:rsidRPr="00D03B48">
        <w:rPr>
          <w:rFonts w:ascii="Times New Roman" w:hAnsi="Times New Roman" w:cs="Times New Roman"/>
          <w:sz w:val="24"/>
          <w:szCs w:val="24"/>
        </w:rPr>
        <w:t xml:space="preserve">TTE </w:t>
      </w:r>
      <w:r w:rsidRPr="00D03B48">
        <w:rPr>
          <w:rFonts w:ascii="Times New Roman" w:hAnsi="Times New Roman" w:cs="Times New Roman"/>
          <w:sz w:val="24"/>
          <w:szCs w:val="24"/>
        </w:rPr>
        <w:t>Faculty</w:t>
      </w:r>
      <w:r w:rsidR="000234B1">
        <w:rPr>
          <w:rFonts w:ascii="Times New Roman" w:hAnsi="Times New Roman" w:cs="Times New Roman"/>
          <w:sz w:val="24"/>
          <w:szCs w:val="24"/>
        </w:rPr>
        <w:t xml:space="preserve"> </w:t>
      </w:r>
      <w:r w:rsidRPr="00D03B48">
        <w:rPr>
          <w:rFonts w:ascii="Times New Roman" w:hAnsi="Times New Roman" w:cs="Times New Roman"/>
          <w:sz w:val="24"/>
          <w:szCs w:val="24"/>
        </w:rPr>
        <w:t>1</w:t>
      </w:r>
      <w:r w:rsidR="00084B10">
        <w:rPr>
          <w:rFonts w:ascii="Times New Roman" w:hAnsi="Times New Roman" w:cs="Times New Roman"/>
          <w:sz w:val="24"/>
          <w:szCs w:val="24"/>
        </w:rPr>
        <w:t>5</w:t>
      </w:r>
    </w:p>
    <w:p w14:paraId="5DC1E11F" w14:textId="2AEE9427" w:rsidR="00D03B48" w:rsidRP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4.5 Promotion to Full Professor of Tenured Faculty</w:t>
      </w:r>
      <w:r w:rsidRPr="00D03B48">
        <w:rPr>
          <w:rFonts w:ascii="Times New Roman" w:hAnsi="Times New Roman" w:cs="Times New Roman"/>
          <w:sz w:val="24"/>
          <w:szCs w:val="24"/>
        </w:rPr>
        <w:tab/>
        <w:t>16</w:t>
      </w:r>
    </w:p>
    <w:p w14:paraId="71E64DDB" w14:textId="01E47ECC" w:rsidR="00D03B48" w:rsidRPr="000234B1" w:rsidRDefault="00D03B48" w:rsidP="00D03B48">
      <w:pPr>
        <w:ind w:left="1440"/>
        <w:rPr>
          <w:rFonts w:ascii="Times New Roman" w:hAnsi="Times New Roman" w:cs="Times New Roman"/>
          <w:b/>
          <w:bCs/>
          <w:sz w:val="24"/>
          <w:szCs w:val="24"/>
        </w:rPr>
      </w:pPr>
      <w:r w:rsidRPr="000234B1">
        <w:rPr>
          <w:rFonts w:ascii="Times New Roman" w:hAnsi="Times New Roman" w:cs="Times New Roman"/>
          <w:b/>
          <w:bCs/>
          <w:sz w:val="24"/>
          <w:szCs w:val="24"/>
        </w:rPr>
        <w:t xml:space="preserve">5.0 Processes for </w:t>
      </w:r>
      <w:r w:rsidR="00A95A0F">
        <w:rPr>
          <w:rFonts w:ascii="Times New Roman" w:hAnsi="Times New Roman" w:cs="Times New Roman"/>
          <w:b/>
          <w:bCs/>
          <w:sz w:val="24"/>
          <w:szCs w:val="24"/>
        </w:rPr>
        <w:t>Career Track (</w:t>
      </w:r>
      <w:r w:rsidR="00C33D78">
        <w:rPr>
          <w:rFonts w:ascii="Times New Roman" w:hAnsi="Times New Roman" w:cs="Times New Roman"/>
          <w:b/>
          <w:bCs/>
          <w:sz w:val="24"/>
          <w:szCs w:val="24"/>
        </w:rPr>
        <w:t>CT</w:t>
      </w:r>
      <w:r w:rsidR="00A95A0F">
        <w:rPr>
          <w:rFonts w:ascii="Times New Roman" w:hAnsi="Times New Roman" w:cs="Times New Roman"/>
          <w:b/>
          <w:bCs/>
          <w:sz w:val="24"/>
          <w:szCs w:val="24"/>
        </w:rPr>
        <w:t>)</w:t>
      </w:r>
      <w:r w:rsidRPr="000234B1">
        <w:rPr>
          <w:rFonts w:ascii="Times New Roman" w:hAnsi="Times New Roman" w:cs="Times New Roman"/>
          <w:b/>
          <w:bCs/>
          <w:sz w:val="24"/>
          <w:szCs w:val="24"/>
        </w:rPr>
        <w:t xml:space="preserve"> Faculty</w:t>
      </w:r>
      <w:r w:rsidR="000234B1" w:rsidRPr="000234B1">
        <w:rPr>
          <w:rFonts w:ascii="Times New Roman" w:hAnsi="Times New Roman" w:cs="Times New Roman"/>
          <w:b/>
          <w:bCs/>
          <w:sz w:val="24"/>
          <w:szCs w:val="24"/>
        </w:rPr>
        <w:t xml:space="preserve"> </w:t>
      </w:r>
      <w:r w:rsidRPr="000234B1">
        <w:rPr>
          <w:rFonts w:ascii="Times New Roman" w:hAnsi="Times New Roman" w:cs="Times New Roman"/>
          <w:b/>
          <w:bCs/>
          <w:sz w:val="24"/>
          <w:szCs w:val="24"/>
        </w:rPr>
        <w:t>17</w:t>
      </w:r>
    </w:p>
    <w:p w14:paraId="2B45C478" w14:textId="1DB65783" w:rsidR="00D03B48" w:rsidRDefault="00D03B48" w:rsidP="00D03B48">
      <w:pPr>
        <w:ind w:left="1440"/>
        <w:rPr>
          <w:rFonts w:ascii="Times New Roman" w:hAnsi="Times New Roman" w:cs="Times New Roman"/>
          <w:sz w:val="24"/>
          <w:szCs w:val="24"/>
        </w:rPr>
      </w:pPr>
      <w:r w:rsidRPr="00D03B48">
        <w:rPr>
          <w:rFonts w:ascii="Times New Roman" w:hAnsi="Times New Roman" w:cs="Times New Roman"/>
          <w:sz w:val="24"/>
          <w:szCs w:val="24"/>
        </w:rPr>
        <w:t xml:space="preserve">5.1 Promotion of </w:t>
      </w:r>
      <w:r w:rsidR="00C33D78">
        <w:rPr>
          <w:rFonts w:ascii="Times New Roman" w:hAnsi="Times New Roman" w:cs="Times New Roman"/>
          <w:sz w:val="24"/>
          <w:szCs w:val="24"/>
        </w:rPr>
        <w:t>CT</w:t>
      </w:r>
      <w:r w:rsidRPr="00D03B48">
        <w:rPr>
          <w:rFonts w:ascii="Times New Roman" w:hAnsi="Times New Roman" w:cs="Times New Roman"/>
          <w:sz w:val="24"/>
          <w:szCs w:val="24"/>
        </w:rPr>
        <w:t xml:space="preserve"> Faculty</w:t>
      </w:r>
      <w:r w:rsidR="000234B1">
        <w:rPr>
          <w:rFonts w:ascii="Times New Roman" w:hAnsi="Times New Roman" w:cs="Times New Roman"/>
          <w:sz w:val="24"/>
          <w:szCs w:val="24"/>
        </w:rPr>
        <w:t xml:space="preserve"> </w:t>
      </w:r>
      <w:r w:rsidRPr="00D03B48">
        <w:rPr>
          <w:rFonts w:ascii="Times New Roman" w:hAnsi="Times New Roman" w:cs="Times New Roman"/>
          <w:sz w:val="24"/>
          <w:szCs w:val="24"/>
        </w:rPr>
        <w:t>17</w:t>
      </w:r>
    </w:p>
    <w:p w14:paraId="42498A92" w14:textId="77481108" w:rsidR="000234B1" w:rsidRDefault="000234B1" w:rsidP="000234B1">
      <w:pPr>
        <w:ind w:left="1440"/>
        <w:rPr>
          <w:rFonts w:ascii="Times New Roman" w:hAnsi="Times New Roman" w:cs="Times New Roman"/>
          <w:bCs/>
          <w:sz w:val="24"/>
          <w:szCs w:val="24"/>
        </w:rPr>
      </w:pPr>
      <w:r w:rsidRPr="000234B1">
        <w:rPr>
          <w:rFonts w:ascii="Times New Roman" w:hAnsi="Times New Roman" w:cs="Times New Roman"/>
          <w:bCs/>
          <w:sz w:val="24"/>
          <w:szCs w:val="24"/>
        </w:rPr>
        <w:t xml:space="preserve">5.1.1 Promotion of Clinical Faculty </w:t>
      </w:r>
      <w:r w:rsidR="00653DA5">
        <w:rPr>
          <w:rFonts w:ascii="Times New Roman" w:hAnsi="Times New Roman" w:cs="Times New Roman"/>
          <w:bCs/>
          <w:sz w:val="24"/>
          <w:szCs w:val="24"/>
        </w:rPr>
        <w:t>17</w:t>
      </w:r>
    </w:p>
    <w:p w14:paraId="4538AA2E" w14:textId="22C254F2" w:rsidR="000234B1" w:rsidRPr="00653DA5" w:rsidRDefault="000234B1" w:rsidP="000234B1">
      <w:pPr>
        <w:ind w:left="1440"/>
        <w:rPr>
          <w:rFonts w:ascii="Times New Roman" w:hAnsi="Times New Roman" w:cs="Times New Roman"/>
          <w:i/>
          <w:iCs/>
          <w:sz w:val="24"/>
          <w:szCs w:val="24"/>
        </w:rPr>
      </w:pPr>
      <w:r w:rsidRPr="000234B1">
        <w:rPr>
          <w:rFonts w:ascii="Times New Roman" w:hAnsi="Times New Roman" w:cs="Times New Roman"/>
          <w:sz w:val="24"/>
          <w:szCs w:val="24"/>
        </w:rPr>
        <w:t xml:space="preserve">5.1.2 Promotion of Research Faculty </w:t>
      </w:r>
      <w:r w:rsidR="00653DA5">
        <w:rPr>
          <w:rFonts w:ascii="Times New Roman" w:hAnsi="Times New Roman" w:cs="Times New Roman"/>
          <w:sz w:val="24"/>
          <w:szCs w:val="24"/>
        </w:rPr>
        <w:t>21</w:t>
      </w:r>
    </w:p>
    <w:p w14:paraId="26A3E020" w14:textId="2B54E882" w:rsidR="000234B1" w:rsidRDefault="000234B1" w:rsidP="000234B1">
      <w:pPr>
        <w:ind w:left="1440"/>
        <w:rPr>
          <w:rFonts w:ascii="Times New Roman" w:hAnsi="Times New Roman" w:cs="Times New Roman"/>
          <w:sz w:val="24"/>
          <w:szCs w:val="24"/>
        </w:rPr>
      </w:pPr>
      <w:r w:rsidRPr="000234B1">
        <w:rPr>
          <w:rFonts w:ascii="Times New Roman" w:hAnsi="Times New Roman" w:cs="Times New Roman"/>
          <w:sz w:val="24"/>
          <w:szCs w:val="24"/>
        </w:rPr>
        <w:t>5.1.3 Promotion of Teaching Faculty</w:t>
      </w:r>
      <w:r>
        <w:rPr>
          <w:rFonts w:ascii="Times New Roman" w:hAnsi="Times New Roman" w:cs="Times New Roman"/>
          <w:sz w:val="24"/>
          <w:szCs w:val="24"/>
        </w:rPr>
        <w:t xml:space="preserve"> </w:t>
      </w:r>
      <w:r w:rsidR="00653DA5">
        <w:rPr>
          <w:rFonts w:ascii="Times New Roman" w:hAnsi="Times New Roman" w:cs="Times New Roman"/>
          <w:sz w:val="24"/>
          <w:szCs w:val="24"/>
        </w:rPr>
        <w:t>2</w:t>
      </w:r>
      <w:r w:rsidR="003E6609">
        <w:rPr>
          <w:rFonts w:ascii="Times New Roman" w:hAnsi="Times New Roman" w:cs="Times New Roman"/>
          <w:sz w:val="24"/>
          <w:szCs w:val="24"/>
        </w:rPr>
        <w:t>6</w:t>
      </w:r>
    </w:p>
    <w:p w14:paraId="44015BEE" w14:textId="0E5E925C" w:rsidR="00E91082" w:rsidRDefault="00E91082" w:rsidP="00E91082">
      <w:pPr>
        <w:ind w:left="1440"/>
        <w:rPr>
          <w:rFonts w:ascii="Times New Roman" w:hAnsi="Times New Roman" w:cs="Times New Roman"/>
          <w:bCs/>
          <w:sz w:val="24"/>
          <w:szCs w:val="24"/>
        </w:rPr>
      </w:pPr>
      <w:r w:rsidRPr="00E91082">
        <w:rPr>
          <w:rFonts w:ascii="Times New Roman" w:hAnsi="Times New Roman" w:cs="Times New Roman"/>
          <w:bCs/>
          <w:sz w:val="24"/>
          <w:szCs w:val="24"/>
        </w:rPr>
        <w:t xml:space="preserve">5.1.4 Promotion of Professors of Practice </w:t>
      </w:r>
      <w:r>
        <w:rPr>
          <w:rFonts w:ascii="Times New Roman" w:hAnsi="Times New Roman" w:cs="Times New Roman"/>
          <w:bCs/>
          <w:sz w:val="24"/>
          <w:szCs w:val="24"/>
        </w:rPr>
        <w:t>2</w:t>
      </w:r>
      <w:r w:rsidR="003E6609">
        <w:rPr>
          <w:rFonts w:ascii="Times New Roman" w:hAnsi="Times New Roman" w:cs="Times New Roman"/>
          <w:bCs/>
          <w:sz w:val="24"/>
          <w:szCs w:val="24"/>
        </w:rPr>
        <w:t>6</w:t>
      </w:r>
    </w:p>
    <w:p w14:paraId="5C794FDF" w14:textId="6D6B92C1" w:rsidR="003E6609" w:rsidRPr="00E91082" w:rsidRDefault="003E6609" w:rsidP="00E91082">
      <w:pPr>
        <w:ind w:left="1440"/>
        <w:rPr>
          <w:rFonts w:ascii="Times New Roman" w:hAnsi="Times New Roman" w:cs="Times New Roman"/>
          <w:bCs/>
          <w:sz w:val="24"/>
          <w:szCs w:val="24"/>
        </w:rPr>
      </w:pPr>
      <w:r w:rsidRPr="003E6609">
        <w:rPr>
          <w:rFonts w:ascii="Times New Roman" w:hAnsi="Times New Roman" w:cs="Times New Roman"/>
          <w:bCs/>
          <w:sz w:val="24"/>
          <w:szCs w:val="24"/>
        </w:rPr>
        <w:t>5.1.5 Promotion of Academic Professionals</w:t>
      </w:r>
      <w:r>
        <w:rPr>
          <w:rFonts w:ascii="Times New Roman" w:hAnsi="Times New Roman" w:cs="Times New Roman"/>
          <w:bCs/>
          <w:sz w:val="24"/>
          <w:szCs w:val="24"/>
        </w:rPr>
        <w:t xml:space="preserve"> 26 </w:t>
      </w:r>
    </w:p>
    <w:p w14:paraId="2E8EF774" w14:textId="41BCD3D6" w:rsidR="00D03B48" w:rsidRPr="000234B1" w:rsidRDefault="00AD2B2C" w:rsidP="00D03B48">
      <w:pPr>
        <w:ind w:left="1440"/>
        <w:rPr>
          <w:rFonts w:ascii="Times New Roman" w:hAnsi="Times New Roman" w:cs="Times New Roman"/>
          <w:b/>
          <w:bCs/>
          <w:sz w:val="24"/>
          <w:szCs w:val="24"/>
        </w:rPr>
      </w:pPr>
      <w:r>
        <w:rPr>
          <w:rFonts w:ascii="Times New Roman" w:hAnsi="Times New Roman" w:cs="Times New Roman"/>
          <w:b/>
          <w:bCs/>
          <w:sz w:val="24"/>
          <w:szCs w:val="24"/>
        </w:rPr>
        <w:t>6</w:t>
      </w:r>
      <w:r w:rsidR="00D03B48" w:rsidRPr="000234B1">
        <w:rPr>
          <w:rFonts w:ascii="Times New Roman" w:hAnsi="Times New Roman" w:cs="Times New Roman"/>
          <w:b/>
          <w:bCs/>
          <w:sz w:val="24"/>
          <w:szCs w:val="24"/>
        </w:rPr>
        <w:t>.0 Peer Institutions</w:t>
      </w:r>
      <w:r w:rsidR="000234B1" w:rsidRPr="000234B1">
        <w:rPr>
          <w:rFonts w:ascii="Times New Roman" w:hAnsi="Times New Roman" w:cs="Times New Roman"/>
          <w:b/>
          <w:bCs/>
          <w:sz w:val="24"/>
          <w:szCs w:val="24"/>
        </w:rPr>
        <w:t xml:space="preserve"> </w:t>
      </w:r>
      <w:r w:rsidR="008C58DB">
        <w:rPr>
          <w:rFonts w:ascii="Times New Roman" w:hAnsi="Times New Roman" w:cs="Times New Roman"/>
          <w:b/>
          <w:bCs/>
          <w:sz w:val="24"/>
          <w:szCs w:val="24"/>
        </w:rPr>
        <w:t>2</w:t>
      </w:r>
      <w:r w:rsidR="004E6BA9">
        <w:rPr>
          <w:rFonts w:ascii="Times New Roman" w:hAnsi="Times New Roman" w:cs="Times New Roman"/>
          <w:b/>
          <w:bCs/>
          <w:sz w:val="24"/>
          <w:szCs w:val="24"/>
        </w:rPr>
        <w:t>6</w:t>
      </w:r>
    </w:p>
    <w:p w14:paraId="3DB7D809" w14:textId="574521B7" w:rsidR="00D03B48" w:rsidRPr="00D03B48" w:rsidRDefault="00AD2B2C" w:rsidP="00D03B48">
      <w:pPr>
        <w:ind w:left="1440"/>
        <w:rPr>
          <w:rFonts w:ascii="Times New Roman" w:hAnsi="Times New Roman" w:cs="Times New Roman"/>
          <w:sz w:val="24"/>
          <w:szCs w:val="24"/>
        </w:rPr>
      </w:pPr>
      <w:r>
        <w:rPr>
          <w:rFonts w:ascii="Times New Roman" w:hAnsi="Times New Roman" w:cs="Times New Roman"/>
          <w:sz w:val="24"/>
          <w:szCs w:val="24"/>
        </w:rPr>
        <w:t>6</w:t>
      </w:r>
      <w:r w:rsidR="000234B1">
        <w:rPr>
          <w:rFonts w:ascii="Times New Roman" w:hAnsi="Times New Roman" w:cs="Times New Roman"/>
          <w:sz w:val="24"/>
          <w:szCs w:val="24"/>
        </w:rPr>
        <w:t xml:space="preserve">.1 </w:t>
      </w:r>
      <w:r w:rsidR="00D03B48" w:rsidRPr="00D03B48">
        <w:rPr>
          <w:rFonts w:ascii="Times New Roman" w:hAnsi="Times New Roman" w:cs="Times New Roman"/>
          <w:sz w:val="24"/>
          <w:szCs w:val="24"/>
        </w:rPr>
        <w:t>College-Level Peer Institutions</w:t>
      </w:r>
      <w:r w:rsidR="000234B1">
        <w:rPr>
          <w:rFonts w:ascii="Times New Roman" w:hAnsi="Times New Roman" w:cs="Times New Roman"/>
          <w:sz w:val="24"/>
          <w:szCs w:val="24"/>
        </w:rPr>
        <w:t xml:space="preserve"> </w:t>
      </w:r>
      <w:r w:rsidR="008C58DB">
        <w:rPr>
          <w:rFonts w:ascii="Times New Roman" w:hAnsi="Times New Roman" w:cs="Times New Roman"/>
          <w:sz w:val="24"/>
          <w:szCs w:val="24"/>
        </w:rPr>
        <w:t>2</w:t>
      </w:r>
      <w:r w:rsidR="004E6BA9">
        <w:rPr>
          <w:rFonts w:ascii="Times New Roman" w:hAnsi="Times New Roman" w:cs="Times New Roman"/>
          <w:sz w:val="24"/>
          <w:szCs w:val="24"/>
        </w:rPr>
        <w:t>6</w:t>
      </w:r>
    </w:p>
    <w:p w14:paraId="34CCF79F" w14:textId="72DAE758" w:rsidR="000234B1" w:rsidRPr="008C58DB" w:rsidRDefault="00AD2B2C" w:rsidP="006808FA">
      <w:pPr>
        <w:ind w:left="1440"/>
        <w:rPr>
          <w:rFonts w:ascii="Times New Roman" w:hAnsi="Times New Roman" w:cs="Times New Roman"/>
          <w:sz w:val="24"/>
          <w:szCs w:val="24"/>
        </w:rPr>
        <w:sectPr w:rsidR="000234B1" w:rsidRPr="008C58DB" w:rsidSect="00863AF9">
          <w:headerReference w:type="default" r:id="rId11"/>
          <w:footerReference w:type="default" r:id="rId12"/>
          <w:pgSz w:w="12240" w:h="15840"/>
          <w:pgMar w:top="1440" w:right="0" w:bottom="1440" w:left="0" w:header="720" w:footer="720" w:gutter="0"/>
          <w:pgNumType w:start="0"/>
          <w:cols w:space="720"/>
        </w:sectPr>
      </w:pPr>
      <w:r>
        <w:rPr>
          <w:rFonts w:ascii="Times New Roman" w:hAnsi="Times New Roman" w:cs="Times New Roman"/>
          <w:sz w:val="24"/>
          <w:szCs w:val="24"/>
        </w:rPr>
        <w:t>6</w:t>
      </w:r>
      <w:r w:rsidR="000234B1">
        <w:rPr>
          <w:rFonts w:ascii="Times New Roman" w:hAnsi="Times New Roman" w:cs="Times New Roman"/>
          <w:sz w:val="24"/>
          <w:szCs w:val="24"/>
        </w:rPr>
        <w:t xml:space="preserve">.2 </w:t>
      </w:r>
      <w:r w:rsidR="000A5263" w:rsidRPr="000A5263">
        <w:rPr>
          <w:rFonts w:ascii="Times New Roman" w:hAnsi="Times New Roman" w:cs="Times New Roman"/>
          <w:sz w:val="24"/>
          <w:szCs w:val="24"/>
        </w:rPr>
        <w:t>Association of American Universities (AAU) University-Level Peer Institutions 2</w:t>
      </w:r>
      <w:r w:rsidR="003E6609">
        <w:rPr>
          <w:rFonts w:ascii="Times New Roman" w:hAnsi="Times New Roman" w:cs="Times New Roman"/>
          <w:sz w:val="24"/>
          <w:szCs w:val="24"/>
        </w:rPr>
        <w:t>7</w:t>
      </w:r>
    </w:p>
    <w:p w14:paraId="68E4C53C" w14:textId="6F0B6E1A" w:rsidR="00752D14" w:rsidRDefault="0035498F" w:rsidP="000234B1">
      <w:pPr>
        <w:pStyle w:val="Heading1"/>
        <w:ind w:left="720" w:right="1440" w:firstLine="720"/>
        <w:rPr>
          <w:rFonts w:ascii="Times New Roman" w:eastAsia="Times New Roman" w:hAnsi="Times New Roman" w:cs="Times New Roman"/>
        </w:rPr>
      </w:pPr>
      <w:r>
        <w:rPr>
          <w:rFonts w:ascii="Times New Roman" w:eastAsia="Times New Roman" w:hAnsi="Times New Roman" w:cs="Times New Roman"/>
        </w:rPr>
        <w:lastRenderedPageBreak/>
        <w:t>Preamble</w:t>
      </w:r>
    </w:p>
    <w:p w14:paraId="0B308EEE" w14:textId="16A209DD" w:rsidR="0017430C"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2A7DDE">
        <w:rPr>
          <w:rFonts w:ascii="Times New Roman" w:eastAsia="Times New Roman" w:hAnsi="Times New Roman" w:cs="Times New Roman"/>
          <w:color w:val="000000"/>
          <w:sz w:val="24"/>
          <w:szCs w:val="24"/>
        </w:rPr>
        <w:t xml:space="preserve">This document provides an overview of </w:t>
      </w:r>
      <w:r w:rsidR="008C5B74" w:rsidRPr="002A7DDE">
        <w:rPr>
          <w:rFonts w:ascii="Times New Roman" w:eastAsia="Times New Roman" w:hAnsi="Times New Roman" w:cs="Times New Roman"/>
          <w:sz w:val="24"/>
          <w:szCs w:val="24"/>
        </w:rPr>
        <w:t xml:space="preserve">Mary Lou Fulton Teachers College’s (MLFTC’s) </w:t>
      </w:r>
      <w:r w:rsidR="008C5B74" w:rsidRPr="002A7DDE">
        <w:rPr>
          <w:rFonts w:ascii="Times New Roman" w:eastAsia="Times New Roman" w:hAnsi="Times New Roman" w:cs="Times New Roman"/>
          <w:color w:val="000000"/>
          <w:sz w:val="24"/>
          <w:szCs w:val="24"/>
        </w:rPr>
        <w:t xml:space="preserve">promotion </w:t>
      </w:r>
      <w:r w:rsidRPr="002A7DDE">
        <w:rPr>
          <w:rFonts w:ascii="Times New Roman" w:eastAsia="Times New Roman" w:hAnsi="Times New Roman" w:cs="Times New Roman"/>
          <w:color w:val="000000"/>
          <w:sz w:val="24"/>
          <w:szCs w:val="24"/>
        </w:rPr>
        <w:t>criteria</w:t>
      </w:r>
      <w:r w:rsidR="008C5B74" w:rsidRPr="002A7DDE">
        <w:rPr>
          <w:rFonts w:ascii="Times New Roman" w:eastAsia="Times New Roman" w:hAnsi="Times New Roman" w:cs="Times New Roman"/>
          <w:color w:val="000000"/>
          <w:sz w:val="24"/>
          <w:szCs w:val="24"/>
        </w:rPr>
        <w:t xml:space="preserve"> and procedures, as situated within MLFTC’S </w:t>
      </w:r>
      <w:r w:rsidR="008C5B74" w:rsidRPr="002A7DDE">
        <w:rPr>
          <w:rFonts w:ascii="Times New Roman" w:eastAsia="Times New Roman" w:hAnsi="Times New Roman" w:cs="Times New Roman"/>
          <w:sz w:val="24"/>
          <w:szCs w:val="24"/>
        </w:rPr>
        <w:t>S</w:t>
      </w:r>
      <w:r w:rsidR="008C5B74" w:rsidRPr="002A7DDE">
        <w:rPr>
          <w:rFonts w:ascii="Times New Roman" w:eastAsia="Times New Roman" w:hAnsi="Times New Roman" w:cs="Times New Roman"/>
          <w:color w:val="000000"/>
          <w:sz w:val="24"/>
          <w:szCs w:val="24"/>
        </w:rPr>
        <w:t xml:space="preserve">tandards of Academe (SoAs) </w:t>
      </w:r>
      <w:r w:rsidR="008C5B74" w:rsidRPr="002A7DDE">
        <w:rPr>
          <w:rFonts w:ascii="Times New Roman" w:eastAsia="Times New Roman" w:hAnsi="Times New Roman" w:cs="Times New Roman"/>
          <w:sz w:val="24"/>
          <w:szCs w:val="24"/>
        </w:rPr>
        <w:t>in the realms of scholarship, teaching, and service</w:t>
      </w:r>
      <w:r w:rsidR="008C5B74" w:rsidRPr="002A7DDE">
        <w:rPr>
          <w:rFonts w:ascii="Times New Roman" w:eastAsia="Times New Roman" w:hAnsi="Times New Roman" w:cs="Times New Roman"/>
          <w:color w:val="000000"/>
          <w:sz w:val="24"/>
          <w:szCs w:val="24"/>
        </w:rPr>
        <w:t>, that are to inform</w:t>
      </w:r>
      <w:r w:rsidRPr="002A7DDE">
        <w:rPr>
          <w:rFonts w:ascii="Times New Roman" w:eastAsia="Times New Roman" w:hAnsi="Times New Roman" w:cs="Times New Roman"/>
          <w:color w:val="000000"/>
          <w:sz w:val="24"/>
          <w:szCs w:val="24"/>
        </w:rPr>
        <w:t xml:space="preserve"> </w:t>
      </w:r>
      <w:r w:rsidR="008C5B74" w:rsidRPr="002A7DDE">
        <w:rPr>
          <w:rFonts w:ascii="Times New Roman" w:eastAsia="Times New Roman" w:hAnsi="Times New Roman" w:cs="Times New Roman"/>
          <w:sz w:val="24"/>
          <w:szCs w:val="24"/>
        </w:rPr>
        <w:t xml:space="preserve">tenured/tenure-eligible (TTE) and career track (CT) faculty member </w:t>
      </w:r>
      <w:r w:rsidRPr="002A7DDE">
        <w:rPr>
          <w:rFonts w:ascii="Times New Roman" w:eastAsia="Times New Roman" w:hAnsi="Times New Roman" w:cs="Times New Roman"/>
          <w:sz w:val="24"/>
          <w:szCs w:val="24"/>
        </w:rPr>
        <w:t>decisions on reappointment, promotion, and</w:t>
      </w:r>
      <w:r w:rsidR="008C5B74" w:rsidRPr="002A7DDE">
        <w:rPr>
          <w:rFonts w:ascii="Times New Roman" w:eastAsia="Times New Roman" w:hAnsi="Times New Roman" w:cs="Times New Roman"/>
          <w:sz w:val="24"/>
          <w:szCs w:val="24"/>
        </w:rPr>
        <w:t>/or</w:t>
      </w:r>
      <w:r w:rsidRPr="002A7DDE">
        <w:rPr>
          <w:rFonts w:ascii="Times New Roman" w:eastAsia="Times New Roman" w:hAnsi="Times New Roman" w:cs="Times New Roman"/>
          <w:sz w:val="24"/>
          <w:szCs w:val="24"/>
        </w:rPr>
        <w:t xml:space="preserve"> tenure. </w:t>
      </w:r>
      <w:r w:rsidR="00596E06" w:rsidRPr="002A7DDE">
        <w:rPr>
          <w:rFonts w:ascii="Times New Roman" w:eastAsia="Times New Roman" w:hAnsi="Times New Roman" w:cs="Times New Roman"/>
          <w:sz w:val="24"/>
          <w:szCs w:val="24"/>
        </w:rPr>
        <w:t>S</w:t>
      </w:r>
      <w:r w:rsidRPr="002A7DDE">
        <w:rPr>
          <w:rFonts w:ascii="Times New Roman" w:eastAsia="Times New Roman" w:hAnsi="Times New Roman" w:cs="Times New Roman"/>
          <w:sz w:val="24"/>
          <w:szCs w:val="24"/>
        </w:rPr>
        <w:t>pecific appraisals relative to reappointment, promotion, and</w:t>
      </w:r>
      <w:r w:rsidR="008C5B74" w:rsidRPr="002A7DDE">
        <w:rPr>
          <w:rFonts w:ascii="Times New Roman" w:eastAsia="Times New Roman" w:hAnsi="Times New Roman" w:cs="Times New Roman"/>
          <w:sz w:val="24"/>
          <w:szCs w:val="24"/>
        </w:rPr>
        <w:t>/or</w:t>
      </w:r>
      <w:r w:rsidRPr="002A7DDE">
        <w:rPr>
          <w:rFonts w:ascii="Times New Roman" w:eastAsia="Times New Roman" w:hAnsi="Times New Roman" w:cs="Times New Roman"/>
          <w:sz w:val="24"/>
          <w:szCs w:val="24"/>
        </w:rPr>
        <w:t xml:space="preserve"> tenure</w:t>
      </w:r>
      <w:r w:rsidR="00CA66F1" w:rsidRPr="002A7DDE">
        <w:rPr>
          <w:rFonts w:ascii="Times New Roman" w:eastAsia="Times New Roman" w:hAnsi="Times New Roman" w:cs="Times New Roman"/>
          <w:sz w:val="24"/>
          <w:szCs w:val="24"/>
        </w:rPr>
        <w:t xml:space="preserve"> </w:t>
      </w:r>
      <w:r w:rsidRPr="002A7DDE">
        <w:rPr>
          <w:rFonts w:ascii="Times New Roman" w:eastAsia="Times New Roman" w:hAnsi="Times New Roman" w:cs="Times New Roman"/>
          <w:sz w:val="24"/>
          <w:szCs w:val="24"/>
        </w:rPr>
        <w:t>should</w:t>
      </w:r>
      <w:r w:rsidR="0017430C" w:rsidRPr="002A7DDE">
        <w:rPr>
          <w:rFonts w:ascii="Times New Roman" w:eastAsia="Times New Roman" w:hAnsi="Times New Roman" w:cs="Times New Roman"/>
          <w:sz w:val="24"/>
          <w:szCs w:val="24"/>
        </w:rPr>
        <w:t xml:space="preserve"> </w:t>
      </w:r>
      <w:r w:rsidR="008C5B74" w:rsidRPr="002A7DDE">
        <w:rPr>
          <w:rFonts w:ascii="Times New Roman" w:eastAsia="Times New Roman" w:hAnsi="Times New Roman" w:cs="Times New Roman"/>
          <w:sz w:val="24"/>
          <w:szCs w:val="24"/>
        </w:rPr>
        <w:t xml:space="preserve">also </w:t>
      </w:r>
      <w:r w:rsidRPr="002A7DDE">
        <w:rPr>
          <w:rFonts w:ascii="Times New Roman" w:eastAsia="Times New Roman" w:hAnsi="Times New Roman" w:cs="Times New Roman"/>
          <w:sz w:val="24"/>
          <w:szCs w:val="24"/>
        </w:rPr>
        <w:t>occur within a more general context of continuing annual performance evaluations aimed at improving faculty members’</w:t>
      </w:r>
      <w:r w:rsidR="00596E06" w:rsidRPr="002A7DDE">
        <w:rPr>
          <w:rFonts w:ascii="Times New Roman" w:eastAsia="Times New Roman" w:hAnsi="Times New Roman" w:cs="Times New Roman"/>
          <w:color w:val="76923C" w:themeColor="accent3" w:themeShade="BF"/>
          <w:sz w:val="24"/>
          <w:szCs w:val="24"/>
        </w:rPr>
        <w:t xml:space="preserve"> </w:t>
      </w:r>
      <w:r w:rsidRPr="002A7DDE">
        <w:rPr>
          <w:rFonts w:ascii="Times New Roman" w:eastAsia="Times New Roman" w:hAnsi="Times New Roman" w:cs="Times New Roman"/>
          <w:sz w:val="24"/>
          <w:szCs w:val="24"/>
        </w:rPr>
        <w:t xml:space="preserve">performance over time. </w:t>
      </w:r>
      <w:r w:rsidR="008C5B74" w:rsidRPr="002A7DDE">
        <w:rPr>
          <w:rFonts w:ascii="Times New Roman" w:eastAsia="Times New Roman" w:hAnsi="Times New Roman" w:cs="Times New Roman"/>
          <w:sz w:val="24"/>
          <w:szCs w:val="24"/>
        </w:rPr>
        <w:t>A</w:t>
      </w:r>
      <w:r w:rsidRPr="002A7DDE">
        <w:rPr>
          <w:rFonts w:ascii="Times New Roman" w:eastAsia="Times New Roman" w:hAnsi="Times New Roman" w:cs="Times New Roman"/>
          <w:sz w:val="24"/>
          <w:szCs w:val="24"/>
        </w:rPr>
        <w:t xml:space="preserve">ll </w:t>
      </w:r>
      <w:r w:rsidR="008C5B74" w:rsidRPr="002A7DDE">
        <w:rPr>
          <w:rFonts w:ascii="Times New Roman" w:eastAsia="Times New Roman" w:hAnsi="Times New Roman" w:cs="Times New Roman"/>
          <w:sz w:val="24"/>
          <w:szCs w:val="24"/>
        </w:rPr>
        <w:t xml:space="preserve">TTE and CT </w:t>
      </w:r>
      <w:r w:rsidRPr="002A7DDE">
        <w:rPr>
          <w:rFonts w:ascii="Times New Roman" w:eastAsia="Times New Roman" w:hAnsi="Times New Roman" w:cs="Times New Roman"/>
          <w:sz w:val="24"/>
          <w:szCs w:val="24"/>
        </w:rPr>
        <w:t xml:space="preserve">faculty members </w:t>
      </w:r>
      <w:r w:rsidR="008C5B74" w:rsidRPr="002A7DDE">
        <w:rPr>
          <w:rFonts w:ascii="Times New Roman" w:eastAsia="Times New Roman" w:hAnsi="Times New Roman" w:cs="Times New Roman"/>
          <w:sz w:val="24"/>
          <w:szCs w:val="24"/>
        </w:rPr>
        <w:t xml:space="preserve">should also </w:t>
      </w:r>
      <w:r w:rsidRPr="002A7DDE">
        <w:rPr>
          <w:rFonts w:ascii="Times New Roman" w:eastAsia="Times New Roman" w:hAnsi="Times New Roman" w:cs="Times New Roman"/>
          <w:sz w:val="24"/>
          <w:szCs w:val="24"/>
        </w:rPr>
        <w:t xml:space="preserve">maintain regular communication with vice deans concerning their goals and aspirations as per these </w:t>
      </w:r>
      <w:r w:rsidR="008C5B74" w:rsidRPr="002A7DDE">
        <w:rPr>
          <w:rFonts w:ascii="Times New Roman" w:eastAsia="Times New Roman" w:hAnsi="Times New Roman" w:cs="Times New Roman"/>
          <w:sz w:val="24"/>
          <w:szCs w:val="24"/>
        </w:rPr>
        <w:t xml:space="preserve">promotion criteria, procedures, and standards (i.e., SoAs) </w:t>
      </w:r>
      <w:r w:rsidRPr="002A7DDE">
        <w:rPr>
          <w:rFonts w:ascii="Times New Roman" w:eastAsia="Times New Roman" w:hAnsi="Times New Roman" w:cs="Times New Roman"/>
          <w:sz w:val="24"/>
          <w:szCs w:val="24"/>
        </w:rPr>
        <w:t xml:space="preserve">as appropriate to </w:t>
      </w:r>
      <w:r w:rsidR="008C5B74" w:rsidRPr="002A7DDE">
        <w:rPr>
          <w:rFonts w:ascii="Times New Roman" w:eastAsia="Times New Roman" w:hAnsi="Times New Roman" w:cs="Times New Roman"/>
          <w:sz w:val="24"/>
          <w:szCs w:val="24"/>
        </w:rPr>
        <w:t>TTE and CT faculty members</w:t>
      </w:r>
      <w:r w:rsidRPr="002A7DDE">
        <w:rPr>
          <w:rFonts w:ascii="Times New Roman" w:eastAsia="Times New Roman" w:hAnsi="Times New Roman" w:cs="Times New Roman"/>
          <w:sz w:val="24"/>
          <w:szCs w:val="24"/>
        </w:rPr>
        <w:t xml:space="preserve"> position</w:t>
      </w:r>
      <w:r w:rsidR="00E436E0" w:rsidRPr="002A7DDE">
        <w:rPr>
          <w:rFonts w:ascii="Times New Roman" w:eastAsia="Times New Roman" w:hAnsi="Times New Roman" w:cs="Times New Roman"/>
          <w:sz w:val="24"/>
          <w:szCs w:val="24"/>
        </w:rPr>
        <w:t>s and job descriptions</w:t>
      </w:r>
      <w:r w:rsidR="00596E06" w:rsidRPr="002A7DDE">
        <w:rPr>
          <w:rFonts w:ascii="Times New Roman" w:eastAsia="Times New Roman" w:hAnsi="Times New Roman" w:cs="Times New Roman"/>
          <w:sz w:val="24"/>
          <w:szCs w:val="24"/>
        </w:rPr>
        <w:t>.</w:t>
      </w:r>
      <w:bookmarkStart w:id="1" w:name="_30j0zll" w:colFirst="0" w:colLast="0"/>
      <w:bookmarkEnd w:id="1"/>
    </w:p>
    <w:p w14:paraId="56CB7FC7" w14:textId="77777777" w:rsidR="0017430C" w:rsidRPr="0017430C" w:rsidRDefault="0017430C" w:rsidP="008C5B74">
      <w:pPr>
        <w:pStyle w:val="Heading1"/>
        <w:spacing w:before="0" w:after="0" w:line="240" w:lineRule="auto"/>
        <w:ind w:right="1440"/>
        <w:rPr>
          <w:rFonts w:ascii="Times New Roman" w:eastAsia="Times New Roman" w:hAnsi="Times New Roman" w:cs="Times New Roman"/>
          <w:sz w:val="24"/>
          <w:szCs w:val="24"/>
        </w:rPr>
      </w:pPr>
    </w:p>
    <w:p w14:paraId="6F9A5E04" w14:textId="6E335A91" w:rsidR="00752D14" w:rsidRPr="0017430C" w:rsidRDefault="00A1001A">
      <w:pPr>
        <w:pStyle w:val="Heading1"/>
        <w:numPr>
          <w:ilvl w:val="0"/>
          <w:numId w:val="13"/>
        </w:numPr>
        <w:spacing w:before="0" w:after="0" w:line="240" w:lineRule="auto"/>
        <w:ind w:right="1440"/>
        <w:rPr>
          <w:rFonts w:ascii="Times New Roman" w:eastAsia="Times New Roman" w:hAnsi="Times New Roman" w:cs="Times New Roman"/>
        </w:rPr>
      </w:pPr>
      <w:r>
        <w:rPr>
          <w:rFonts w:ascii="Times New Roman" w:eastAsia="Times New Roman" w:hAnsi="Times New Roman" w:cs="Times New Roman"/>
        </w:rPr>
        <w:t xml:space="preserve">0 </w:t>
      </w:r>
      <w:r w:rsidR="0035498F" w:rsidRPr="001C086F">
        <w:rPr>
          <w:rFonts w:ascii="Times New Roman" w:eastAsia="Times New Roman" w:hAnsi="Times New Roman" w:cs="Times New Roman"/>
        </w:rPr>
        <w:t>Purpose</w:t>
      </w:r>
      <w:r w:rsidR="0035498F" w:rsidRPr="0017430C">
        <w:rPr>
          <w:rFonts w:ascii="Times New Roman" w:eastAsia="Times New Roman" w:hAnsi="Times New Roman" w:cs="Times New Roman"/>
        </w:rPr>
        <w:t xml:space="preserve"> </w:t>
      </w:r>
    </w:p>
    <w:p w14:paraId="66BEA543" w14:textId="77777777" w:rsidR="0017430C" w:rsidRDefault="0017430C" w:rsidP="0017430C">
      <w:pPr>
        <w:widowControl w:val="0"/>
        <w:spacing w:line="240" w:lineRule="auto"/>
        <w:ind w:left="1440" w:right="1440"/>
        <w:rPr>
          <w:rFonts w:ascii="Times New Roman" w:eastAsia="Times New Roman" w:hAnsi="Times New Roman" w:cs="Times New Roman"/>
          <w:sz w:val="24"/>
          <w:szCs w:val="24"/>
        </w:rPr>
      </w:pPr>
    </w:p>
    <w:p w14:paraId="708CDA3B" w14:textId="2BD4E7F9" w:rsidR="00DB1A21" w:rsidRPr="001C086F" w:rsidRDefault="0035498F" w:rsidP="0017430C">
      <w:pPr>
        <w:widowControl w:val="0"/>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The SoA</w:t>
      </w:r>
      <w:r w:rsidR="00596E06">
        <w:rPr>
          <w:rFonts w:ascii="Times New Roman" w:eastAsia="Times New Roman" w:hAnsi="Times New Roman" w:cs="Times New Roman"/>
          <w:sz w:val="24"/>
          <w:szCs w:val="24"/>
        </w:rPr>
        <w:t>s</w:t>
      </w:r>
      <w:r w:rsidRPr="001C086F">
        <w:rPr>
          <w:rFonts w:ascii="Times New Roman" w:eastAsia="Times New Roman" w:hAnsi="Times New Roman" w:cs="Times New Roman"/>
          <w:sz w:val="24"/>
          <w:szCs w:val="24"/>
        </w:rPr>
        <w:t xml:space="preserve"> represent MLFTC’s policies and procedures for recommendations regarding continued probation, promotion, tenure, sabbatical proposals, and annual performance evaluations while serving both formative and summative purposes:</w:t>
      </w:r>
    </w:p>
    <w:p w14:paraId="45CF093F" w14:textId="1C3ED96C" w:rsidR="00752D14" w:rsidRPr="001C086F" w:rsidRDefault="0035498F" w:rsidP="0017430C">
      <w:pPr>
        <w:widowControl w:val="0"/>
        <w:numPr>
          <w:ilvl w:val="0"/>
          <w:numId w:val="1"/>
        </w:numP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to assess faculty members’ progress through the academic ranks, and </w:t>
      </w:r>
    </w:p>
    <w:p w14:paraId="32A2883C" w14:textId="14D3B621" w:rsidR="00752D14" w:rsidRPr="001C086F" w:rsidRDefault="0035498F" w:rsidP="0017430C">
      <w:pPr>
        <w:widowControl w:val="0"/>
        <w:numPr>
          <w:ilvl w:val="0"/>
          <w:numId w:val="1"/>
        </w:numP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to provide feedback to faculty</w:t>
      </w:r>
      <w:r w:rsidR="00596E06">
        <w:rPr>
          <w:rFonts w:ascii="Times New Roman" w:eastAsia="Times New Roman" w:hAnsi="Times New Roman" w:cs="Times New Roman"/>
          <w:sz w:val="24"/>
          <w:szCs w:val="24"/>
        </w:rPr>
        <w:t xml:space="preserve"> members</w:t>
      </w:r>
      <w:r w:rsidRPr="001C086F">
        <w:rPr>
          <w:rFonts w:ascii="Times New Roman" w:eastAsia="Times New Roman" w:hAnsi="Times New Roman" w:cs="Times New Roman"/>
          <w:sz w:val="24"/>
          <w:szCs w:val="24"/>
        </w:rPr>
        <w:t xml:space="preserve"> through</w:t>
      </w:r>
      <w:r w:rsidR="00CA66F1">
        <w:rPr>
          <w:rFonts w:ascii="Times New Roman" w:eastAsia="Times New Roman" w:hAnsi="Times New Roman" w:cs="Times New Roman"/>
          <w:sz w:val="24"/>
          <w:szCs w:val="24"/>
        </w:rPr>
        <w:t>out</w:t>
      </w:r>
      <w:r w:rsidRPr="001C086F">
        <w:rPr>
          <w:rFonts w:ascii="Times New Roman" w:eastAsia="Times New Roman" w:hAnsi="Times New Roman" w:cs="Times New Roman"/>
          <w:sz w:val="24"/>
          <w:szCs w:val="24"/>
        </w:rPr>
        <w:t xml:space="preserve"> evaluation procedures. </w:t>
      </w:r>
    </w:p>
    <w:p w14:paraId="2051312D" w14:textId="77777777" w:rsidR="00752D14" w:rsidRPr="001C086F"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65D85AD8" w14:textId="1F7F204A"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Over their careers, </w:t>
      </w:r>
      <w:r w:rsidRPr="00A5246B">
        <w:rPr>
          <w:rFonts w:ascii="Times New Roman" w:eastAsia="Times New Roman" w:hAnsi="Times New Roman" w:cs="Times New Roman"/>
          <w:color w:val="000000" w:themeColor="text1"/>
          <w:sz w:val="24"/>
          <w:szCs w:val="24"/>
        </w:rPr>
        <w:t xml:space="preserve">faculty members </w:t>
      </w:r>
      <w:r w:rsidRPr="001C086F">
        <w:rPr>
          <w:rFonts w:ascii="Times New Roman" w:eastAsia="Times New Roman" w:hAnsi="Times New Roman" w:cs="Times New Roman"/>
          <w:sz w:val="24"/>
          <w:szCs w:val="24"/>
        </w:rPr>
        <w:t>are expected to demonstrate excellence in scholarship, teaching</w:t>
      </w:r>
      <w:r w:rsidR="00413B90">
        <w:rPr>
          <w:rFonts w:ascii="Times New Roman" w:eastAsia="Times New Roman" w:hAnsi="Times New Roman" w:cs="Times New Roman"/>
          <w:sz w:val="24"/>
          <w:szCs w:val="24"/>
        </w:rPr>
        <w:t>,</w:t>
      </w:r>
      <w:r w:rsidRPr="001C086F">
        <w:rPr>
          <w:rFonts w:ascii="Times New Roman" w:eastAsia="Times New Roman" w:hAnsi="Times New Roman" w:cs="Times New Roman"/>
          <w:sz w:val="24"/>
          <w:szCs w:val="24"/>
        </w:rPr>
        <w:t xml:space="preserve"> and service, as appropriate to their job description. Academic professionals are expected to demonstrate excellence through position effectiveness, professional contributions, and institutional, professional, or community service. </w:t>
      </w:r>
    </w:p>
    <w:p w14:paraId="620D113B" w14:textId="77777777" w:rsidR="0017430C" w:rsidRPr="001C086F" w:rsidRDefault="0017430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382205F5" w14:textId="58BB1AB8" w:rsidR="00752D14" w:rsidRDefault="0035498F" w:rsidP="0017430C">
      <w:pPr>
        <w:widowControl w:val="0"/>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In general, </w:t>
      </w:r>
      <w:r w:rsidRPr="00A5246B">
        <w:rPr>
          <w:rFonts w:ascii="Times New Roman" w:eastAsia="Times New Roman" w:hAnsi="Times New Roman" w:cs="Times New Roman"/>
          <w:color w:val="000000" w:themeColor="text1"/>
          <w:sz w:val="24"/>
          <w:szCs w:val="24"/>
        </w:rPr>
        <w:t>faculty member</w:t>
      </w:r>
      <w:r w:rsidR="004B7E2F" w:rsidRPr="00A5246B">
        <w:rPr>
          <w:rFonts w:ascii="Times New Roman" w:eastAsia="Times New Roman" w:hAnsi="Times New Roman" w:cs="Times New Roman"/>
          <w:color w:val="000000" w:themeColor="text1"/>
          <w:sz w:val="24"/>
          <w:szCs w:val="24"/>
        </w:rPr>
        <w:t>s</w:t>
      </w:r>
      <w:r w:rsidRPr="00A5246B">
        <w:rPr>
          <w:rFonts w:ascii="Times New Roman" w:eastAsia="Times New Roman" w:hAnsi="Times New Roman" w:cs="Times New Roman"/>
          <w:color w:val="000000" w:themeColor="text1"/>
          <w:sz w:val="24"/>
          <w:szCs w:val="24"/>
        </w:rPr>
        <w:t xml:space="preserve"> </w:t>
      </w:r>
      <w:r w:rsidRPr="001C086F">
        <w:rPr>
          <w:rFonts w:ascii="Times New Roman" w:eastAsia="Times New Roman" w:hAnsi="Times New Roman" w:cs="Times New Roman"/>
          <w:sz w:val="24"/>
          <w:szCs w:val="24"/>
        </w:rPr>
        <w:t xml:space="preserve">seeking promotion </w:t>
      </w:r>
      <w:r w:rsidR="004B7E2F">
        <w:rPr>
          <w:rFonts w:ascii="Times New Roman" w:eastAsia="Times New Roman" w:hAnsi="Times New Roman" w:cs="Times New Roman"/>
          <w:sz w:val="24"/>
          <w:szCs w:val="24"/>
        </w:rPr>
        <w:t>are</w:t>
      </w:r>
      <w:r w:rsidRPr="001C086F">
        <w:rPr>
          <w:rFonts w:ascii="Times New Roman" w:eastAsia="Times New Roman" w:hAnsi="Times New Roman" w:cs="Times New Roman"/>
          <w:sz w:val="24"/>
          <w:szCs w:val="24"/>
        </w:rPr>
        <w:t xml:space="preserve"> expected to meet the SoA</w:t>
      </w:r>
      <w:r w:rsidR="00CA66F1">
        <w:rPr>
          <w:rFonts w:ascii="Times New Roman" w:eastAsia="Times New Roman" w:hAnsi="Times New Roman" w:cs="Times New Roman"/>
          <w:sz w:val="24"/>
          <w:szCs w:val="24"/>
        </w:rPr>
        <w:t>s</w:t>
      </w:r>
      <w:r w:rsidRPr="001C086F">
        <w:rPr>
          <w:rFonts w:ascii="Times New Roman" w:eastAsia="Times New Roman" w:hAnsi="Times New Roman" w:cs="Times New Roman"/>
          <w:sz w:val="24"/>
          <w:szCs w:val="24"/>
        </w:rPr>
        <w:t xml:space="preserve"> currently in place when the</w:t>
      </w:r>
      <w:r w:rsidR="004B7E2F">
        <w:rPr>
          <w:rFonts w:ascii="Times New Roman" w:eastAsia="Times New Roman" w:hAnsi="Times New Roman" w:cs="Times New Roman"/>
          <w:sz w:val="24"/>
          <w:szCs w:val="24"/>
        </w:rPr>
        <w:t>ir</w:t>
      </w:r>
      <w:r w:rsidRPr="001C086F">
        <w:rPr>
          <w:rFonts w:ascii="Times New Roman" w:eastAsia="Times New Roman" w:hAnsi="Times New Roman" w:cs="Times New Roman"/>
          <w:sz w:val="24"/>
          <w:szCs w:val="24"/>
        </w:rPr>
        <w:t xml:space="preserve"> case goes forward unless there are circumstances that qualify that another expectation should be met (e.g., the SoA</w:t>
      </w:r>
      <w:r w:rsidR="00CA66F1">
        <w:rPr>
          <w:rFonts w:ascii="Times New Roman" w:eastAsia="Times New Roman" w:hAnsi="Times New Roman" w:cs="Times New Roman"/>
          <w:sz w:val="24"/>
          <w:szCs w:val="24"/>
        </w:rPr>
        <w:t>s</w:t>
      </w:r>
      <w:r w:rsidRPr="001C086F">
        <w:rPr>
          <w:rFonts w:ascii="Times New Roman" w:eastAsia="Times New Roman" w:hAnsi="Times New Roman" w:cs="Times New Roman"/>
          <w:sz w:val="24"/>
          <w:szCs w:val="24"/>
        </w:rPr>
        <w:t xml:space="preserve"> changed appreciably in the college</w:t>
      </w:r>
      <w:r w:rsidR="00CA66F1">
        <w:rPr>
          <w:rFonts w:ascii="Times New Roman" w:eastAsia="Times New Roman" w:hAnsi="Times New Roman" w:cs="Times New Roman"/>
          <w:sz w:val="24"/>
          <w:szCs w:val="24"/>
        </w:rPr>
        <w:t>,</w:t>
      </w:r>
      <w:r w:rsidRPr="001C086F">
        <w:rPr>
          <w:rFonts w:ascii="Times New Roman" w:eastAsia="Times New Roman" w:hAnsi="Times New Roman" w:cs="Times New Roman"/>
          <w:sz w:val="24"/>
          <w:szCs w:val="24"/>
        </w:rPr>
        <w:t xml:space="preserve"> or the faculty member was moved from one college to another in which expectations were </w:t>
      </w:r>
      <w:r w:rsidR="00CA66F1">
        <w:rPr>
          <w:rFonts w:ascii="Times New Roman" w:eastAsia="Times New Roman" w:hAnsi="Times New Roman" w:cs="Times New Roman"/>
          <w:sz w:val="24"/>
          <w:szCs w:val="24"/>
        </w:rPr>
        <w:t>substantively</w:t>
      </w:r>
      <w:r w:rsidRPr="001C086F">
        <w:rPr>
          <w:rFonts w:ascii="Times New Roman" w:eastAsia="Times New Roman" w:hAnsi="Times New Roman" w:cs="Times New Roman"/>
          <w:sz w:val="24"/>
          <w:szCs w:val="24"/>
        </w:rPr>
        <w:t xml:space="preserve"> different). In such cases, differences should be discussed by the vice dean and the candidate. </w:t>
      </w:r>
    </w:p>
    <w:p w14:paraId="7CC5C150" w14:textId="77777777" w:rsidR="0017430C" w:rsidRPr="001C086F" w:rsidRDefault="0017430C" w:rsidP="0017430C">
      <w:pPr>
        <w:widowControl w:val="0"/>
        <w:spacing w:line="240" w:lineRule="auto"/>
        <w:ind w:left="1440" w:right="1440"/>
        <w:rPr>
          <w:rFonts w:ascii="Times New Roman" w:eastAsia="Times New Roman" w:hAnsi="Times New Roman" w:cs="Times New Roman"/>
          <w:sz w:val="24"/>
          <w:szCs w:val="24"/>
        </w:rPr>
      </w:pPr>
    </w:p>
    <w:p w14:paraId="0C4B5AA7" w14:textId="49D4D460" w:rsidR="00752D14" w:rsidRDefault="00413B90"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The responsibilities</w:t>
      </w:r>
      <w:r w:rsidRPr="001C086F">
        <w:rPr>
          <w:rFonts w:ascii="Times New Roman" w:eastAsia="Times New Roman" w:hAnsi="Times New Roman" w:cs="Times New Roman"/>
          <w:sz w:val="24"/>
          <w:szCs w:val="24"/>
        </w:rPr>
        <w:t xml:space="preserve"> </w:t>
      </w:r>
      <w:r w:rsidR="0035498F" w:rsidRPr="001C086F">
        <w:rPr>
          <w:rFonts w:ascii="Times New Roman" w:eastAsia="Times New Roman" w:hAnsi="Times New Roman" w:cs="Times New Roman"/>
          <w:sz w:val="24"/>
          <w:szCs w:val="24"/>
        </w:rPr>
        <w:t xml:space="preserve">of </w:t>
      </w:r>
      <w:r w:rsidR="00A95A0F">
        <w:rPr>
          <w:rFonts w:ascii="Times New Roman" w:eastAsia="Times New Roman" w:hAnsi="Times New Roman" w:cs="Times New Roman"/>
          <w:sz w:val="24"/>
          <w:szCs w:val="24"/>
        </w:rPr>
        <w:t>t</w:t>
      </w:r>
      <w:r w:rsidR="00AD2B2C">
        <w:rPr>
          <w:rFonts w:ascii="Times New Roman" w:eastAsia="Times New Roman" w:hAnsi="Times New Roman" w:cs="Times New Roman"/>
          <w:sz w:val="24"/>
          <w:szCs w:val="24"/>
        </w:rPr>
        <w:t>enured/</w:t>
      </w:r>
      <w:r w:rsidR="00A95A0F">
        <w:rPr>
          <w:rFonts w:ascii="Times New Roman" w:eastAsia="Times New Roman" w:hAnsi="Times New Roman" w:cs="Times New Roman"/>
          <w:sz w:val="24"/>
          <w:szCs w:val="24"/>
        </w:rPr>
        <w:t>t</w:t>
      </w:r>
      <w:r w:rsidR="00AD2B2C">
        <w:rPr>
          <w:rFonts w:ascii="Times New Roman" w:eastAsia="Times New Roman" w:hAnsi="Times New Roman" w:cs="Times New Roman"/>
          <w:sz w:val="24"/>
          <w:szCs w:val="24"/>
        </w:rPr>
        <w:t>enure-</w:t>
      </w:r>
      <w:r w:rsidR="00A95A0F">
        <w:rPr>
          <w:rFonts w:ascii="Times New Roman" w:eastAsia="Times New Roman" w:hAnsi="Times New Roman" w:cs="Times New Roman"/>
          <w:sz w:val="24"/>
          <w:szCs w:val="24"/>
        </w:rPr>
        <w:t>e</w:t>
      </w:r>
      <w:r w:rsidR="00AD2B2C">
        <w:rPr>
          <w:rFonts w:ascii="Times New Roman" w:eastAsia="Times New Roman" w:hAnsi="Times New Roman" w:cs="Times New Roman"/>
          <w:sz w:val="24"/>
          <w:szCs w:val="24"/>
        </w:rPr>
        <w:t>ligible (T</w:t>
      </w:r>
      <w:r w:rsidR="004B7E2F">
        <w:rPr>
          <w:rFonts w:ascii="Times New Roman" w:eastAsia="Times New Roman" w:hAnsi="Times New Roman" w:cs="Times New Roman"/>
          <w:sz w:val="24"/>
          <w:szCs w:val="24"/>
        </w:rPr>
        <w:t>TE</w:t>
      </w:r>
      <w:r w:rsidR="00AD2B2C">
        <w:rPr>
          <w:rFonts w:ascii="Times New Roman" w:eastAsia="Times New Roman" w:hAnsi="Times New Roman" w:cs="Times New Roman"/>
          <w:sz w:val="24"/>
          <w:szCs w:val="24"/>
        </w:rPr>
        <w:t>)</w:t>
      </w:r>
      <w:r w:rsidR="004B7E2F">
        <w:rPr>
          <w:rFonts w:ascii="Times New Roman" w:eastAsia="Times New Roman" w:hAnsi="Times New Roman" w:cs="Times New Roman"/>
          <w:sz w:val="24"/>
          <w:szCs w:val="24"/>
        </w:rPr>
        <w:t xml:space="preserve"> </w:t>
      </w:r>
      <w:r w:rsidR="0035498F" w:rsidRPr="001C086F">
        <w:rPr>
          <w:rFonts w:ascii="Times New Roman" w:eastAsia="Times New Roman" w:hAnsi="Times New Roman" w:cs="Times New Roman"/>
          <w:sz w:val="24"/>
          <w:szCs w:val="24"/>
        </w:rPr>
        <w:t xml:space="preserve">faculty </w:t>
      </w:r>
      <w:r w:rsidR="004B7E2F">
        <w:rPr>
          <w:rFonts w:ascii="Times New Roman" w:eastAsia="Times New Roman" w:hAnsi="Times New Roman" w:cs="Times New Roman"/>
          <w:sz w:val="24"/>
          <w:szCs w:val="24"/>
        </w:rPr>
        <w:t xml:space="preserve">members </w:t>
      </w:r>
      <w:r w:rsidR="0035498F" w:rsidRPr="001C086F">
        <w:rPr>
          <w:rFonts w:ascii="Times New Roman" w:eastAsia="Times New Roman" w:hAnsi="Times New Roman" w:cs="Times New Roman"/>
          <w:sz w:val="24"/>
          <w:szCs w:val="24"/>
        </w:rPr>
        <w:t xml:space="preserve">are determined by their annual goals and their annual workload plans in consultation with their vice deans. </w:t>
      </w:r>
      <w:r w:rsidR="004657C5">
        <w:rPr>
          <w:rFonts w:ascii="Times New Roman" w:eastAsia="Times New Roman" w:hAnsi="Times New Roman" w:cs="Times New Roman"/>
          <w:sz w:val="24"/>
          <w:szCs w:val="24"/>
        </w:rPr>
        <w:t xml:space="preserve">Career </w:t>
      </w:r>
      <w:r w:rsidR="00A95A0F">
        <w:rPr>
          <w:rFonts w:ascii="Times New Roman" w:eastAsia="Times New Roman" w:hAnsi="Times New Roman" w:cs="Times New Roman"/>
          <w:sz w:val="24"/>
          <w:szCs w:val="24"/>
        </w:rPr>
        <w:t>t</w:t>
      </w:r>
      <w:r w:rsidR="004657C5">
        <w:rPr>
          <w:rFonts w:ascii="Times New Roman" w:eastAsia="Times New Roman" w:hAnsi="Times New Roman" w:cs="Times New Roman"/>
          <w:sz w:val="24"/>
          <w:szCs w:val="24"/>
        </w:rPr>
        <w:t>rack</w:t>
      </w:r>
      <w:r w:rsidR="00AD2B2C">
        <w:rPr>
          <w:rFonts w:ascii="Times New Roman" w:eastAsia="Times New Roman" w:hAnsi="Times New Roman" w:cs="Times New Roman"/>
          <w:sz w:val="24"/>
          <w:szCs w:val="24"/>
        </w:rPr>
        <w:t xml:space="preserve"> (CT)</w:t>
      </w:r>
      <w:r w:rsidR="0035498F" w:rsidRPr="001C086F">
        <w:rPr>
          <w:rFonts w:ascii="Times New Roman" w:eastAsia="Times New Roman" w:hAnsi="Times New Roman" w:cs="Times New Roman"/>
          <w:sz w:val="24"/>
          <w:szCs w:val="24"/>
        </w:rPr>
        <w:t xml:space="preserve"> faculty are expected to meet the same qualities of teaching and (where appropriate) service described in the SoA</w:t>
      </w:r>
      <w:r w:rsidR="0017430C">
        <w:rPr>
          <w:rFonts w:ascii="Times New Roman" w:eastAsia="Times New Roman" w:hAnsi="Times New Roman" w:cs="Times New Roman"/>
          <w:sz w:val="24"/>
          <w:szCs w:val="24"/>
        </w:rPr>
        <w:t>s</w:t>
      </w:r>
      <w:r w:rsidR="0035498F" w:rsidRPr="001C086F">
        <w:rPr>
          <w:rFonts w:ascii="Times New Roman" w:eastAsia="Times New Roman" w:hAnsi="Times New Roman" w:cs="Times New Roman"/>
          <w:sz w:val="24"/>
          <w:szCs w:val="24"/>
        </w:rPr>
        <w:t>. However, the quantity of teaching and service may vary according to individual annual workload assignments. Responsibilities for academic professionals depend on the</w:t>
      </w:r>
      <w:r w:rsidR="00AD2B2C">
        <w:rPr>
          <w:rFonts w:ascii="Times New Roman" w:eastAsia="Times New Roman" w:hAnsi="Times New Roman" w:cs="Times New Roman"/>
          <w:sz w:val="24"/>
          <w:szCs w:val="24"/>
        </w:rPr>
        <w:t xml:space="preserve">ir </w:t>
      </w:r>
      <w:r w:rsidR="0035498F" w:rsidRPr="001C086F">
        <w:rPr>
          <w:rFonts w:ascii="Times New Roman" w:eastAsia="Times New Roman" w:hAnsi="Times New Roman" w:cs="Times New Roman"/>
          <w:sz w:val="24"/>
          <w:szCs w:val="24"/>
        </w:rPr>
        <w:t>assigned job</w:t>
      </w:r>
      <w:r w:rsidR="00AD2B2C">
        <w:rPr>
          <w:rFonts w:ascii="Times New Roman" w:eastAsia="Times New Roman" w:hAnsi="Times New Roman" w:cs="Times New Roman"/>
          <w:sz w:val="24"/>
          <w:szCs w:val="24"/>
        </w:rPr>
        <w:t>s</w:t>
      </w:r>
      <w:r w:rsidR="0035498F" w:rsidRPr="001C086F">
        <w:rPr>
          <w:rFonts w:ascii="Times New Roman" w:eastAsia="Times New Roman" w:hAnsi="Times New Roman" w:cs="Times New Roman"/>
        </w:rPr>
        <w:t xml:space="preserve"> </w:t>
      </w:r>
      <w:r w:rsidR="0035498F" w:rsidRPr="001C086F">
        <w:rPr>
          <w:rFonts w:ascii="Times New Roman" w:eastAsia="Times New Roman" w:hAnsi="Times New Roman" w:cs="Times New Roman"/>
          <w:sz w:val="24"/>
          <w:szCs w:val="24"/>
        </w:rPr>
        <w:t xml:space="preserve">and the general categories of responsibility that are applicable to </w:t>
      </w:r>
      <w:r w:rsidR="00DB1A21">
        <w:rPr>
          <w:rFonts w:ascii="Times New Roman" w:eastAsia="Times New Roman" w:hAnsi="Times New Roman" w:cs="Times New Roman"/>
          <w:sz w:val="24"/>
          <w:szCs w:val="24"/>
        </w:rPr>
        <w:t>a</w:t>
      </w:r>
      <w:r w:rsidR="0035498F" w:rsidRPr="001C086F">
        <w:rPr>
          <w:rFonts w:ascii="Times New Roman" w:eastAsia="Times New Roman" w:hAnsi="Times New Roman" w:cs="Times New Roman"/>
          <w:sz w:val="24"/>
          <w:szCs w:val="24"/>
        </w:rPr>
        <w:t xml:space="preserve">cademic </w:t>
      </w:r>
      <w:r w:rsidR="00DB1A21">
        <w:rPr>
          <w:rFonts w:ascii="Times New Roman" w:eastAsia="Times New Roman" w:hAnsi="Times New Roman" w:cs="Times New Roman"/>
          <w:sz w:val="24"/>
          <w:szCs w:val="24"/>
        </w:rPr>
        <w:t>p</w:t>
      </w:r>
      <w:r w:rsidR="0035498F" w:rsidRPr="001C086F">
        <w:rPr>
          <w:rFonts w:ascii="Times New Roman" w:eastAsia="Times New Roman" w:hAnsi="Times New Roman" w:cs="Times New Roman"/>
          <w:sz w:val="24"/>
          <w:szCs w:val="24"/>
        </w:rPr>
        <w:t>rofessional positions and the</w:t>
      </w:r>
      <w:r w:rsidR="00AD2B2C">
        <w:rPr>
          <w:rFonts w:ascii="Times New Roman" w:eastAsia="Times New Roman" w:hAnsi="Times New Roman" w:cs="Times New Roman"/>
          <w:sz w:val="24"/>
          <w:szCs w:val="24"/>
        </w:rPr>
        <w:t>ir job-based</w:t>
      </w:r>
      <w:r w:rsidR="0035498F" w:rsidRPr="001C086F">
        <w:rPr>
          <w:rFonts w:ascii="Times New Roman" w:eastAsia="Times New Roman" w:hAnsi="Times New Roman" w:cs="Times New Roman"/>
          <w:sz w:val="24"/>
          <w:szCs w:val="24"/>
        </w:rPr>
        <w:t xml:space="preserve"> foundation</w:t>
      </w:r>
      <w:r w:rsidR="00AD2B2C">
        <w:rPr>
          <w:rFonts w:ascii="Times New Roman" w:eastAsia="Times New Roman" w:hAnsi="Times New Roman" w:cs="Times New Roman"/>
          <w:sz w:val="24"/>
          <w:szCs w:val="24"/>
        </w:rPr>
        <w:t>s</w:t>
      </w:r>
      <w:r w:rsidR="0035498F" w:rsidRPr="001C086F">
        <w:rPr>
          <w:rFonts w:ascii="Times New Roman" w:eastAsia="Times New Roman" w:hAnsi="Times New Roman" w:cs="Times New Roman"/>
          <w:sz w:val="24"/>
          <w:szCs w:val="24"/>
        </w:rPr>
        <w:t xml:space="preserve"> for promotion evaluations.</w:t>
      </w:r>
    </w:p>
    <w:p w14:paraId="1BE83225" w14:textId="77777777" w:rsidR="0017430C" w:rsidRPr="001C086F" w:rsidRDefault="0017430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6BDE856A" w14:textId="49897DC4" w:rsidR="001B2A87" w:rsidRPr="00EE3450" w:rsidRDefault="0035498F" w:rsidP="001B2A87">
      <w:pPr>
        <w:widowControl w:val="0"/>
        <w:pBdr>
          <w:top w:val="nil"/>
          <w:left w:val="nil"/>
          <w:bottom w:val="nil"/>
          <w:right w:val="nil"/>
          <w:between w:val="nil"/>
        </w:pBdr>
        <w:spacing w:line="240" w:lineRule="auto"/>
        <w:ind w:left="1440" w:right="1440"/>
        <w:rPr>
          <w:rStyle w:val="Hyperlink"/>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See also: </w:t>
      </w:r>
      <w:hyperlink r:id="rId13">
        <w:r w:rsidRPr="00EE3450">
          <w:rPr>
            <w:rFonts w:ascii="Times New Roman" w:eastAsia="Times New Roman" w:hAnsi="Times New Roman" w:cs="Times New Roman"/>
            <w:color w:val="0000FF"/>
            <w:sz w:val="24"/>
            <w:szCs w:val="24"/>
            <w:u w:val="single"/>
          </w:rPr>
          <w:t>ACD 505–02: Faculty Membership, Appointment Categories, Ranks, and Titles</w:t>
        </w:r>
      </w:hyperlink>
      <w:r w:rsidR="001B2A87" w:rsidRPr="00EE3450">
        <w:rPr>
          <w:rFonts w:ascii="Times New Roman" w:eastAsia="Times New Roman" w:hAnsi="Times New Roman" w:cs="Times New Roman"/>
          <w:color w:val="0000FF"/>
          <w:sz w:val="24"/>
          <w:szCs w:val="24"/>
        </w:rPr>
        <w:t xml:space="preserve">; </w:t>
      </w:r>
      <w:r w:rsidR="001B2A87" w:rsidRPr="00EE3450">
        <w:rPr>
          <w:rFonts w:ascii="Times New Roman" w:eastAsia="Times New Roman" w:hAnsi="Times New Roman" w:cs="Times New Roman"/>
          <w:color w:val="0000FF"/>
          <w:sz w:val="24"/>
          <w:szCs w:val="24"/>
          <w:u w:val="single"/>
        </w:rPr>
        <w:fldChar w:fldCharType="begin"/>
      </w:r>
      <w:r w:rsidR="001B2A87" w:rsidRPr="00EE3450">
        <w:rPr>
          <w:rFonts w:ascii="Times New Roman" w:eastAsia="Times New Roman" w:hAnsi="Times New Roman" w:cs="Times New Roman"/>
          <w:color w:val="0000FF"/>
          <w:sz w:val="24"/>
          <w:szCs w:val="24"/>
          <w:u w:val="single"/>
        </w:rPr>
        <w:instrText xml:space="preserve"> HYPERLINK "https://public.powerdms.com/ASU/documents/1541950" </w:instrText>
      </w:r>
      <w:r w:rsidR="001B2A87" w:rsidRPr="00EE3450">
        <w:rPr>
          <w:rFonts w:ascii="Times New Roman" w:eastAsia="Times New Roman" w:hAnsi="Times New Roman" w:cs="Times New Roman"/>
          <w:color w:val="0000FF"/>
          <w:sz w:val="24"/>
          <w:szCs w:val="24"/>
          <w:u w:val="single"/>
        </w:rPr>
      </w:r>
      <w:r w:rsidR="001B2A87" w:rsidRPr="00EE3450">
        <w:rPr>
          <w:rFonts w:ascii="Times New Roman" w:eastAsia="Times New Roman" w:hAnsi="Times New Roman" w:cs="Times New Roman"/>
          <w:color w:val="0000FF"/>
          <w:sz w:val="24"/>
          <w:szCs w:val="24"/>
          <w:u w:val="single"/>
        </w:rPr>
        <w:fldChar w:fldCharType="separate"/>
      </w:r>
      <w:r w:rsidR="001B2A87" w:rsidRPr="00EE3450">
        <w:rPr>
          <w:rStyle w:val="Hyperlink"/>
          <w:rFonts w:ascii="Times New Roman" w:eastAsia="Times New Roman" w:hAnsi="Times New Roman" w:cs="Times New Roman"/>
          <w:color w:val="0000FF"/>
          <w:sz w:val="24"/>
          <w:szCs w:val="24"/>
        </w:rPr>
        <w:t xml:space="preserve">ACD  505–03: Academic Professional Status, Ranks, Titles, and Appointment Categories </w:t>
      </w:r>
    </w:p>
    <w:p w14:paraId="52B13116" w14:textId="77777777" w:rsidR="001B2A87" w:rsidRPr="00EE3450" w:rsidRDefault="001B2A87" w:rsidP="001B2A87">
      <w:pPr>
        <w:widowControl w:val="0"/>
        <w:pBdr>
          <w:top w:val="nil"/>
          <w:left w:val="nil"/>
          <w:bottom w:val="nil"/>
          <w:right w:val="nil"/>
          <w:between w:val="nil"/>
        </w:pBdr>
        <w:spacing w:line="240" w:lineRule="auto"/>
        <w:ind w:left="1440" w:right="1440"/>
        <w:rPr>
          <w:rStyle w:val="Hyperlink"/>
          <w:rFonts w:ascii="Times New Roman" w:eastAsia="Times New Roman" w:hAnsi="Times New Roman" w:cs="Times New Roman"/>
          <w:b/>
          <w:color w:val="0000FF"/>
          <w:sz w:val="24"/>
          <w:szCs w:val="24"/>
        </w:rPr>
      </w:pPr>
    </w:p>
    <w:p w14:paraId="41E1798E" w14:textId="72B50350" w:rsidR="001B2A87" w:rsidRDefault="001B2A87" w:rsidP="001B2A87">
      <w:pPr>
        <w:widowControl w:val="0"/>
        <w:pBdr>
          <w:top w:val="nil"/>
          <w:left w:val="nil"/>
          <w:bottom w:val="nil"/>
          <w:right w:val="nil"/>
          <w:between w:val="nil"/>
        </w:pBdr>
        <w:spacing w:line="240" w:lineRule="auto"/>
        <w:ind w:left="1440" w:right="1440"/>
        <w:rPr>
          <w:rFonts w:ascii="Times New Roman" w:eastAsia="Times New Roman" w:hAnsi="Times New Roman" w:cs="Times New Roman"/>
          <w:b/>
          <w:sz w:val="24"/>
          <w:szCs w:val="24"/>
        </w:rPr>
      </w:pPr>
      <w:r w:rsidRPr="00EE3450">
        <w:rPr>
          <w:rFonts w:ascii="Times New Roman" w:eastAsia="Times New Roman" w:hAnsi="Times New Roman" w:cs="Times New Roman"/>
          <w:color w:val="0000FF"/>
          <w:sz w:val="24"/>
          <w:szCs w:val="24"/>
        </w:rPr>
        <w:lastRenderedPageBreak/>
        <w:fldChar w:fldCharType="end"/>
      </w:r>
      <w:r w:rsidR="0035498F">
        <w:rPr>
          <w:rFonts w:ascii="Times New Roman" w:eastAsia="Times New Roman" w:hAnsi="Times New Roman" w:cs="Times New Roman"/>
          <w:color w:val="000000"/>
          <w:sz w:val="24"/>
          <w:szCs w:val="24"/>
        </w:rPr>
        <w:t xml:space="preserve"> </w:t>
      </w:r>
    </w:p>
    <w:p w14:paraId="0080D15C" w14:textId="1B7D7E4F" w:rsidR="00752D14" w:rsidRDefault="0035498F" w:rsidP="0017430C">
      <w:pPr>
        <w:spacing w:line="240" w:lineRule="auto"/>
        <w:ind w:left="1440" w:righ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Arizona Board of Regents (ABOR) Policy Manual  </w:t>
      </w:r>
    </w:p>
    <w:p w14:paraId="54000BA2" w14:textId="77777777" w:rsidR="00E928E6" w:rsidRDefault="00E928E6" w:rsidP="0017430C">
      <w:pPr>
        <w:spacing w:line="240" w:lineRule="auto"/>
        <w:ind w:left="1440" w:right="1440"/>
        <w:rPr>
          <w:rFonts w:ascii="Times New Roman" w:eastAsia="Times New Roman" w:hAnsi="Times New Roman" w:cs="Times New Roman"/>
          <w:b/>
          <w:sz w:val="24"/>
          <w:szCs w:val="24"/>
        </w:rPr>
      </w:pPr>
    </w:p>
    <w:p w14:paraId="68EC549E" w14:textId="77777777"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14">
        <w:r w:rsidRPr="00EE3450">
          <w:rPr>
            <w:rFonts w:ascii="Times New Roman" w:eastAsia="Times New Roman" w:hAnsi="Times New Roman" w:cs="Times New Roman"/>
            <w:color w:val="0000FF"/>
            <w:sz w:val="24"/>
            <w:szCs w:val="24"/>
            <w:u w:val="single"/>
          </w:rPr>
          <w:t>Arizona Board of Regents (ABOR) Policy Manual</w:t>
        </w:r>
      </w:hyperlink>
      <w:r>
        <w:rPr>
          <w:rFonts w:ascii="Times New Roman" w:eastAsia="Times New Roman" w:hAnsi="Times New Roman" w:cs="Times New Roman"/>
          <w:color w:val="000000"/>
          <w:sz w:val="24"/>
          <w:szCs w:val="24"/>
        </w:rPr>
        <w:t xml:space="preserve"> constitutes the complete and official body of policies for the governance and operation of the </w:t>
      </w:r>
      <w:r>
        <w:rPr>
          <w:rFonts w:ascii="Times New Roman" w:eastAsia="Times New Roman" w:hAnsi="Times New Roman" w:cs="Times New Roman"/>
          <w:sz w:val="24"/>
          <w:szCs w:val="24"/>
        </w:rPr>
        <w:t>ASU</w:t>
      </w:r>
      <w:r>
        <w:rPr>
          <w:rFonts w:ascii="Times New Roman" w:eastAsia="Times New Roman" w:hAnsi="Times New Roman" w:cs="Times New Roman"/>
          <w:color w:val="000000"/>
          <w:sz w:val="24"/>
          <w:szCs w:val="24"/>
        </w:rPr>
        <w:t xml:space="preserve"> System and takes precedence over the Academic Affairs Manual (ACD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the SoA. </w:t>
      </w:r>
    </w:p>
    <w:p w14:paraId="3BAF14EA" w14:textId="77777777" w:rsidR="00446C08" w:rsidRDefault="00446C0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4D7729F4" w14:textId="77777777" w:rsidR="00752D14" w:rsidRDefault="0035498F" w:rsidP="0017430C">
      <w:pPr>
        <w:pStyle w:val="Heading1"/>
        <w:spacing w:before="0" w:after="0" w:line="240" w:lineRule="auto"/>
        <w:ind w:left="1440" w:right="1440"/>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2.0 Definitions</w:t>
      </w:r>
    </w:p>
    <w:p w14:paraId="09A53ADB" w14:textId="77777777" w:rsidR="00446C08" w:rsidRPr="00446C08" w:rsidRDefault="00446C08" w:rsidP="00446C08">
      <w:pPr>
        <w:rPr>
          <w:rFonts w:ascii="Times New Roman" w:hAnsi="Times New Roman" w:cs="Times New Roman"/>
          <w:sz w:val="24"/>
          <w:szCs w:val="24"/>
        </w:rPr>
      </w:pPr>
    </w:p>
    <w:p w14:paraId="6F914656" w14:textId="77777777"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2.1 Faculty</w:t>
      </w:r>
    </w:p>
    <w:p w14:paraId="2BCAD821" w14:textId="77777777" w:rsidR="00E928E6" w:rsidRPr="00E928E6" w:rsidRDefault="00E928E6" w:rsidP="00E928E6"/>
    <w:p w14:paraId="270F1B63" w14:textId="488877D6" w:rsidR="0017430C"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the </w:t>
      </w:r>
      <w:hyperlink r:id="rId15">
        <w:r w:rsidRPr="00EE3450">
          <w:rPr>
            <w:rFonts w:ascii="Times New Roman" w:eastAsia="Times New Roman" w:hAnsi="Times New Roman" w:cs="Times New Roman"/>
            <w:color w:val="0000FF"/>
            <w:sz w:val="24"/>
            <w:szCs w:val="24"/>
            <w:u w:val="single"/>
          </w:rPr>
          <w:t>Academic Affairs Manual (ACD</w:t>
        </w:r>
      </w:hyperlink>
      <w:r w:rsidRPr="00EE3450">
        <w:rPr>
          <w:rFonts w:ascii="Times New Roman" w:eastAsia="Times New Roman" w:hAnsi="Times New Roman" w:cs="Times New Roman"/>
          <w:color w:val="0000FF"/>
          <w:sz w:val="24"/>
          <w:szCs w:val="24"/>
          <w:u w:val="single"/>
        </w:rPr>
        <w:t>)</w:t>
      </w:r>
      <w:r w:rsidRPr="00EE3450">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members of the faculty include </w:t>
      </w:r>
      <w:r w:rsidRPr="00446C08">
        <w:rPr>
          <w:rFonts w:ascii="Times New Roman" w:eastAsia="Times New Roman" w:hAnsi="Times New Roman" w:cs="Times New Roman"/>
          <w:color w:val="000000" w:themeColor="text1"/>
          <w:sz w:val="24"/>
          <w:szCs w:val="24"/>
        </w:rPr>
        <w:t>all</w:t>
      </w:r>
      <w:r w:rsidR="00446C08" w:rsidRPr="00446C08">
        <w:rPr>
          <w:rFonts w:ascii="Times New Roman" w:eastAsia="Times New Roman" w:hAnsi="Times New Roman" w:cs="Times New Roman"/>
          <w:color w:val="000000" w:themeColor="text1"/>
          <w:sz w:val="24"/>
          <w:szCs w:val="24"/>
        </w:rPr>
        <w:t xml:space="preserve"> (ABOR) </w:t>
      </w:r>
      <w:r w:rsidRPr="001C086F">
        <w:rPr>
          <w:rFonts w:ascii="Times New Roman" w:eastAsia="Times New Roman" w:hAnsi="Times New Roman" w:cs="Times New Roman"/>
          <w:sz w:val="24"/>
          <w:szCs w:val="24"/>
        </w:rPr>
        <w:t xml:space="preserve">employees </w:t>
      </w:r>
      <w:r>
        <w:rPr>
          <w:rFonts w:ascii="Times New Roman" w:eastAsia="Times New Roman" w:hAnsi="Times New Roman" w:cs="Times New Roman"/>
          <w:color w:val="000000"/>
          <w:sz w:val="24"/>
          <w:szCs w:val="24"/>
        </w:rPr>
        <w:t>involved in scholarship, teaching, or service whose notice of appointment designates a faculty position. The</w:t>
      </w:r>
      <w:r w:rsidR="00446C08">
        <w:rPr>
          <w:rFonts w:ascii="Times New Roman" w:eastAsia="Times New Roman" w:hAnsi="Times New Roman" w:cs="Times New Roman"/>
          <w:color w:val="000000"/>
          <w:sz w:val="24"/>
          <w:szCs w:val="24"/>
        </w:rPr>
        <w:t xml:space="preserve"> ACD </w:t>
      </w:r>
      <w:r>
        <w:rPr>
          <w:rFonts w:ascii="Times New Roman" w:eastAsia="Times New Roman" w:hAnsi="Times New Roman" w:cs="Times New Roman"/>
          <w:color w:val="000000"/>
          <w:sz w:val="24"/>
          <w:szCs w:val="24"/>
        </w:rPr>
        <w:t xml:space="preserve">provides information for ASU faculty members and academic professionals and their administrators on academic organizations, governance, personnel, and programs. ACD information applies directly to faculty members, faculty members with administrative appointments, academic professionals, and academic professionals with administrative appointments. </w:t>
      </w:r>
    </w:p>
    <w:p w14:paraId="0548F926" w14:textId="77777777" w:rsidR="0017430C" w:rsidRPr="00CF32FF" w:rsidRDefault="0017430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p>
    <w:p w14:paraId="76C13153" w14:textId="5BB1779C" w:rsidR="00352B58" w:rsidRPr="00CF32FF" w:rsidRDefault="008E45AB" w:rsidP="00352B58">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r w:rsidRPr="00CF32FF">
        <w:rPr>
          <w:rFonts w:ascii="Times New Roman" w:eastAsia="Times New Roman" w:hAnsi="Times New Roman" w:cs="Times New Roman"/>
          <w:color w:val="000000" w:themeColor="text1"/>
          <w:sz w:val="24"/>
          <w:szCs w:val="24"/>
        </w:rPr>
        <w:t>As per the ACD, f</w:t>
      </w:r>
      <w:r w:rsidR="0017430C" w:rsidRPr="00CF32FF">
        <w:rPr>
          <w:rFonts w:ascii="Times New Roman" w:eastAsia="Times New Roman" w:hAnsi="Times New Roman" w:cs="Times New Roman"/>
          <w:color w:val="000000" w:themeColor="text1"/>
          <w:sz w:val="24"/>
          <w:szCs w:val="24"/>
        </w:rPr>
        <w:t>aculty members include TTE faculty members</w:t>
      </w:r>
      <w:r w:rsidR="00997B30" w:rsidRPr="00CF32FF">
        <w:rPr>
          <w:rFonts w:ascii="Times New Roman" w:eastAsia="Times New Roman" w:hAnsi="Times New Roman" w:cs="Times New Roman"/>
          <w:color w:val="000000" w:themeColor="text1"/>
          <w:sz w:val="24"/>
          <w:szCs w:val="24"/>
        </w:rPr>
        <w:t xml:space="preserve"> and</w:t>
      </w:r>
      <w:r w:rsidR="0017430C" w:rsidRPr="00CF32FF">
        <w:rPr>
          <w:rFonts w:ascii="Times New Roman" w:eastAsia="Times New Roman" w:hAnsi="Times New Roman" w:cs="Times New Roman"/>
          <w:color w:val="000000" w:themeColor="text1"/>
          <w:sz w:val="24"/>
          <w:szCs w:val="24"/>
        </w:rPr>
        <w:t xml:space="preserve"> </w:t>
      </w:r>
      <w:r w:rsidR="00AD2B2C" w:rsidRPr="00CF32FF">
        <w:rPr>
          <w:rFonts w:ascii="Times New Roman" w:eastAsia="Times New Roman" w:hAnsi="Times New Roman" w:cs="Times New Roman"/>
          <w:color w:val="000000" w:themeColor="text1"/>
          <w:sz w:val="24"/>
          <w:szCs w:val="24"/>
        </w:rPr>
        <w:t>CT</w:t>
      </w:r>
      <w:r w:rsidR="0017430C" w:rsidRPr="00CF32FF">
        <w:rPr>
          <w:rFonts w:ascii="Times New Roman" w:eastAsia="Times New Roman" w:hAnsi="Times New Roman" w:cs="Times New Roman"/>
          <w:color w:val="000000" w:themeColor="text1"/>
          <w:sz w:val="24"/>
          <w:szCs w:val="24"/>
        </w:rPr>
        <w:t xml:space="preserve"> faculty members</w:t>
      </w:r>
      <w:r w:rsidR="004E1301" w:rsidRPr="00CF32FF">
        <w:rPr>
          <w:rFonts w:ascii="Times New Roman" w:eastAsia="Times New Roman" w:hAnsi="Times New Roman" w:cs="Times New Roman"/>
          <w:color w:val="000000" w:themeColor="text1"/>
          <w:sz w:val="24"/>
          <w:szCs w:val="24"/>
        </w:rPr>
        <w:t xml:space="preserve"> who have promotion pathways and are promoted based on excellence in their specific areas of assignment. These faculty members</w:t>
      </w:r>
      <w:r w:rsidR="00997B30" w:rsidRPr="00CF32FF">
        <w:rPr>
          <w:rFonts w:ascii="Times New Roman" w:eastAsia="Times New Roman" w:hAnsi="Times New Roman" w:cs="Times New Roman"/>
          <w:color w:val="000000" w:themeColor="text1"/>
          <w:sz w:val="24"/>
          <w:szCs w:val="24"/>
        </w:rPr>
        <w:t xml:space="preserve"> include </w:t>
      </w:r>
      <w:r w:rsidR="00352B58" w:rsidRPr="00CF32FF">
        <w:rPr>
          <w:rFonts w:ascii="Times New Roman" w:eastAsia="Times New Roman" w:hAnsi="Times New Roman" w:cs="Times New Roman"/>
          <w:color w:val="000000" w:themeColor="text1"/>
          <w:sz w:val="24"/>
          <w:szCs w:val="24"/>
        </w:rPr>
        <w:t xml:space="preserve">(1) clinical faculty members (i.e., clinical assistant, associate, and full professors), (2) research faculty members (i.e., research assistant, associate, and full professors), (3) teaching faculty members (i.e., teaching assistant, associate, and full professors), (4) professors of practice (i.e., assistant, associate, and full professors of practice,), and (5) instructors (who are not ranked and do not have a promotion ladder). </w:t>
      </w:r>
      <w:proofErr w:type="gramStart"/>
      <w:r w:rsidR="00352B58" w:rsidRPr="00CF32FF">
        <w:rPr>
          <w:rFonts w:ascii="Times New Roman" w:eastAsia="Times New Roman" w:hAnsi="Times New Roman" w:cs="Times New Roman"/>
          <w:color w:val="000000" w:themeColor="text1"/>
          <w:sz w:val="24"/>
          <w:szCs w:val="24"/>
        </w:rPr>
        <w:t>All of</w:t>
      </w:r>
      <w:proofErr w:type="gramEnd"/>
      <w:r w:rsidR="00352B58" w:rsidRPr="00CF32FF">
        <w:rPr>
          <w:rFonts w:ascii="Times New Roman" w:eastAsia="Times New Roman" w:hAnsi="Times New Roman" w:cs="Times New Roman"/>
          <w:color w:val="000000" w:themeColor="text1"/>
          <w:sz w:val="24"/>
          <w:szCs w:val="24"/>
        </w:rPr>
        <w:t xml:space="preserve"> these faculty groups are referred to hereafter as faculty members or faculty unless otherwise specified. </w:t>
      </w:r>
    </w:p>
    <w:p w14:paraId="2BF9DBDC" w14:textId="6C8E3483" w:rsidR="00804A28" w:rsidRPr="00CF32FF" w:rsidRDefault="00804A28" w:rsidP="00352B58">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p>
    <w:p w14:paraId="05FC1560" w14:textId="75D57CE6" w:rsidR="0017430C" w:rsidRPr="00CF32FF" w:rsidRDefault="0017430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r w:rsidRPr="00CF32FF">
        <w:rPr>
          <w:rFonts w:ascii="Times New Roman" w:eastAsia="Times New Roman" w:hAnsi="Times New Roman" w:cs="Times New Roman"/>
          <w:color w:val="000000" w:themeColor="text1"/>
          <w:sz w:val="24"/>
          <w:szCs w:val="24"/>
        </w:rPr>
        <w:t xml:space="preserve">Academic professionals defined include employees officially designated as professionals (e.g., non-classified librarians or researchers who are involved with </w:t>
      </w:r>
      <w:r w:rsidR="004A1A78" w:rsidRPr="00CF32FF">
        <w:rPr>
          <w:rFonts w:ascii="Times New Roman" w:eastAsia="Times New Roman" w:hAnsi="Times New Roman" w:cs="Times New Roman"/>
          <w:color w:val="000000" w:themeColor="text1"/>
          <w:sz w:val="24"/>
          <w:szCs w:val="24"/>
        </w:rPr>
        <w:t>teaching, scholarship</w:t>
      </w:r>
      <w:r w:rsidRPr="00CF32FF">
        <w:rPr>
          <w:rFonts w:ascii="Times New Roman" w:eastAsia="Times New Roman" w:hAnsi="Times New Roman" w:cs="Times New Roman"/>
          <w:color w:val="000000" w:themeColor="text1"/>
          <w:sz w:val="24"/>
          <w:szCs w:val="24"/>
        </w:rPr>
        <w:t xml:space="preserve">, </w:t>
      </w:r>
      <w:r w:rsidR="004A1A78" w:rsidRPr="00CF32FF">
        <w:rPr>
          <w:rFonts w:ascii="Times New Roman" w:eastAsia="Times New Roman" w:hAnsi="Times New Roman" w:cs="Times New Roman"/>
          <w:color w:val="000000" w:themeColor="text1"/>
          <w:sz w:val="24"/>
          <w:szCs w:val="24"/>
        </w:rPr>
        <w:t>administration, and/or service</w:t>
      </w:r>
      <w:r w:rsidRPr="00CF32FF">
        <w:rPr>
          <w:rFonts w:ascii="Times New Roman" w:eastAsia="Times New Roman" w:hAnsi="Times New Roman" w:cs="Times New Roman"/>
          <w:color w:val="000000" w:themeColor="text1"/>
          <w:sz w:val="24"/>
          <w:szCs w:val="24"/>
        </w:rPr>
        <w:t xml:space="preserve">). </w:t>
      </w:r>
      <w:r w:rsidR="008E45AB" w:rsidRPr="00CF32FF">
        <w:rPr>
          <w:rFonts w:ascii="Times New Roman" w:eastAsia="Times New Roman" w:hAnsi="Times New Roman" w:cs="Times New Roman"/>
          <w:color w:val="000000" w:themeColor="text1"/>
          <w:sz w:val="24"/>
          <w:szCs w:val="24"/>
        </w:rPr>
        <w:t xml:space="preserve">The specific evaluation processes and criteria for academic professionals vary by position and unit and should be documented for each academic professional in their personnel records as aligned with ACD 507-08. </w:t>
      </w:r>
    </w:p>
    <w:p w14:paraId="125C9CE7" w14:textId="77777777" w:rsidR="0017430C" w:rsidRDefault="0017430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5CD04CC9" w14:textId="3B54E4E0"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sidRPr="001C086F">
        <w:rPr>
          <w:rFonts w:ascii="Times New Roman" w:eastAsia="Times New Roman" w:hAnsi="Times New Roman" w:cs="Times New Roman"/>
          <w:sz w:val="24"/>
          <w:szCs w:val="24"/>
        </w:rPr>
        <w:t>If these SoA</w:t>
      </w:r>
      <w:r w:rsidR="00446C08">
        <w:rPr>
          <w:rFonts w:ascii="Times New Roman" w:eastAsia="Times New Roman" w:hAnsi="Times New Roman" w:cs="Times New Roman"/>
          <w:sz w:val="24"/>
          <w:szCs w:val="24"/>
        </w:rPr>
        <w:t>s</w:t>
      </w:r>
      <w:r w:rsidRPr="001C086F">
        <w:rPr>
          <w:rFonts w:ascii="Times New Roman" w:eastAsia="Times New Roman" w:hAnsi="Times New Roman" w:cs="Times New Roman"/>
          <w:sz w:val="24"/>
          <w:szCs w:val="24"/>
        </w:rPr>
        <w:t xml:space="preserve"> are unclear or silent on matters that pertain to policies and procedures, faculty members and academic professionals s</w:t>
      </w:r>
      <w:r>
        <w:rPr>
          <w:rFonts w:ascii="Times New Roman" w:eastAsia="Times New Roman" w:hAnsi="Times New Roman" w:cs="Times New Roman"/>
          <w:color w:val="000000"/>
          <w:sz w:val="24"/>
          <w:szCs w:val="24"/>
        </w:rPr>
        <w:t>hould defer to ACD as ACD takes precedence over the college’s SoA</w:t>
      </w:r>
      <w:r w:rsidR="00446C0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048CE805" w14:textId="77777777" w:rsidR="00446C08" w:rsidRDefault="00446C0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E1EA844" w14:textId="517EE2E6"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also </w:t>
      </w:r>
      <w:hyperlink r:id="rId16" w:history="1">
        <w:r w:rsidRPr="00EE3450">
          <w:rPr>
            <w:rStyle w:val="Hyperlink"/>
            <w:rFonts w:ascii="Times New Roman" w:eastAsia="Times New Roman" w:hAnsi="Times New Roman" w:cs="Times New Roman"/>
            <w:color w:val="0000FF"/>
            <w:sz w:val="24"/>
            <w:szCs w:val="24"/>
          </w:rPr>
          <w:t>ACD 002: Definitions</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for all commonly used terms and definitions. </w:t>
      </w:r>
    </w:p>
    <w:p w14:paraId="1FC6201E" w14:textId="77777777" w:rsidR="00446C08" w:rsidRDefault="00446C0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89CA33A" w14:textId="77777777" w:rsidR="00CF32FF" w:rsidRDefault="00CF32FF" w:rsidP="0017430C">
      <w:pPr>
        <w:pStyle w:val="Heading2"/>
        <w:spacing w:before="0" w:after="0" w:line="240" w:lineRule="auto"/>
        <w:ind w:left="1440" w:right="1440"/>
        <w:rPr>
          <w:rFonts w:ascii="Times New Roman" w:eastAsia="Times New Roman" w:hAnsi="Times New Roman" w:cs="Times New Roman"/>
        </w:rPr>
      </w:pPr>
      <w:bookmarkStart w:id="5" w:name="_tyjcwt" w:colFirst="0" w:colLast="0"/>
      <w:bookmarkEnd w:id="5"/>
    </w:p>
    <w:p w14:paraId="56791458" w14:textId="77777777" w:rsidR="00CF32FF" w:rsidRDefault="00CF32FF" w:rsidP="0017430C">
      <w:pPr>
        <w:pStyle w:val="Heading2"/>
        <w:spacing w:before="0" w:after="0" w:line="240" w:lineRule="auto"/>
        <w:ind w:left="1440" w:right="1440"/>
        <w:rPr>
          <w:rFonts w:ascii="Times New Roman" w:eastAsia="Times New Roman" w:hAnsi="Times New Roman" w:cs="Times New Roman"/>
        </w:rPr>
      </w:pPr>
    </w:p>
    <w:p w14:paraId="392A0C19" w14:textId="6C2EB23F" w:rsidR="00752D14" w:rsidRDefault="0035498F" w:rsidP="0017430C">
      <w:pPr>
        <w:pStyle w:val="Heading2"/>
        <w:spacing w:before="0" w:after="0" w:line="240" w:lineRule="auto"/>
        <w:ind w:left="1440" w:right="1440"/>
        <w:rPr>
          <w:rFonts w:ascii="Times New Roman" w:eastAsia="Times New Roman" w:hAnsi="Times New Roman" w:cs="Times New Roman"/>
        </w:rPr>
      </w:pPr>
      <w:r>
        <w:rPr>
          <w:rFonts w:ascii="Times New Roman" w:eastAsia="Times New Roman" w:hAnsi="Times New Roman" w:cs="Times New Roman"/>
        </w:rPr>
        <w:t>2.2 Standards</w:t>
      </w:r>
    </w:p>
    <w:p w14:paraId="1AA4289F" w14:textId="77777777" w:rsidR="00446C08" w:rsidRPr="00446C08" w:rsidRDefault="00446C08" w:rsidP="00446C08">
      <w:pPr>
        <w:rPr>
          <w:rFonts w:ascii="Times New Roman" w:hAnsi="Times New Roman" w:cs="Times New Roman"/>
          <w:sz w:val="24"/>
          <w:szCs w:val="24"/>
        </w:rPr>
      </w:pPr>
    </w:p>
    <w:p w14:paraId="5CDFBD56" w14:textId="77777777" w:rsidR="00446C08" w:rsidRDefault="0035498F" w:rsidP="0017430C">
      <w:pPr>
        <w:pStyle w:val="Heading2"/>
        <w:spacing w:before="0" w:after="0" w:line="240" w:lineRule="auto"/>
        <w:ind w:left="1440" w:right="1440"/>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rPr>
        <w:t>2.2.1 Scholarship</w:t>
      </w:r>
    </w:p>
    <w:p w14:paraId="1D1EFB4B" w14:textId="0AF10F2C" w:rsidR="00752D14" w:rsidRPr="00446C08" w:rsidRDefault="0035498F" w:rsidP="0017430C">
      <w:pPr>
        <w:pStyle w:val="Heading2"/>
        <w:spacing w:before="0" w:after="0" w:line="240" w:lineRule="auto"/>
        <w:ind w:left="1440" w:right="1440"/>
        <w:rPr>
          <w:rFonts w:ascii="Times New Roman" w:eastAsia="Times New Roman" w:hAnsi="Times New Roman" w:cs="Times New Roman"/>
          <w:sz w:val="24"/>
          <w:szCs w:val="24"/>
        </w:rPr>
      </w:pPr>
      <w:r w:rsidRPr="00446C08">
        <w:rPr>
          <w:rFonts w:ascii="Times New Roman" w:eastAsia="Times New Roman" w:hAnsi="Times New Roman" w:cs="Times New Roman"/>
          <w:sz w:val="24"/>
          <w:szCs w:val="24"/>
        </w:rPr>
        <w:t xml:space="preserve"> </w:t>
      </w:r>
    </w:p>
    <w:p w14:paraId="489B286A" w14:textId="77777777" w:rsidR="00752D14" w:rsidRDefault="0035498F" w:rsidP="0017430C">
      <w:pPr>
        <w:pStyle w:val="Heading3"/>
        <w:spacing w:before="0" w:after="0" w:line="240" w:lineRule="auto"/>
        <w:ind w:left="1440" w:right="1440"/>
        <w:rPr>
          <w:rFonts w:ascii="Times New Roman" w:eastAsia="Times New Roman" w:hAnsi="Times New Roman" w:cs="Times New Roman"/>
        </w:rPr>
      </w:pPr>
      <w:bookmarkStart w:id="7" w:name="_1t3h5sf" w:colFirst="0" w:colLast="0"/>
      <w:bookmarkEnd w:id="7"/>
      <w:r>
        <w:rPr>
          <w:rFonts w:ascii="Times New Roman" w:eastAsia="Times New Roman" w:hAnsi="Times New Roman" w:cs="Times New Roman"/>
        </w:rPr>
        <w:t xml:space="preserve">2.2.1.1 Guiding Principles </w:t>
      </w:r>
    </w:p>
    <w:p w14:paraId="5E590684" w14:textId="77777777" w:rsidR="00E928E6" w:rsidRPr="00E928E6" w:rsidRDefault="00E928E6" w:rsidP="00E928E6"/>
    <w:p w14:paraId="64658850" w14:textId="77F191A0" w:rsidR="00446C08"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Scholarship in MLFTC reflects the range of theoretical perspectives, disciplinary</w:t>
      </w:r>
      <w:r w:rsidR="00446C08">
        <w:rPr>
          <w:rFonts w:ascii="Times New Roman" w:eastAsia="Times New Roman" w:hAnsi="Times New Roman" w:cs="Times New Roman"/>
          <w:sz w:val="24"/>
          <w:szCs w:val="24"/>
        </w:rPr>
        <w:t>,</w:t>
      </w:r>
      <w:r w:rsidRPr="001C086F">
        <w:rPr>
          <w:rFonts w:ascii="Times New Roman" w:eastAsia="Times New Roman" w:hAnsi="Times New Roman" w:cs="Times New Roman"/>
          <w:sz w:val="24"/>
          <w:szCs w:val="24"/>
        </w:rPr>
        <w:t xml:space="preserve"> and interdisciplinary backgrounds, interests, and contributions of faculty members</w:t>
      </w:r>
      <w:r w:rsidR="00446C08">
        <w:rPr>
          <w:rFonts w:ascii="Times New Roman" w:eastAsia="Times New Roman" w:hAnsi="Times New Roman" w:cs="Times New Roman"/>
          <w:sz w:val="24"/>
          <w:szCs w:val="24"/>
        </w:rPr>
        <w:t xml:space="preserve"> </w:t>
      </w:r>
      <w:r w:rsidR="00413B90">
        <w:rPr>
          <w:rFonts w:ascii="Times New Roman" w:eastAsia="Times New Roman" w:hAnsi="Times New Roman" w:cs="Times New Roman"/>
          <w:sz w:val="24"/>
          <w:szCs w:val="24"/>
        </w:rPr>
        <w:t xml:space="preserve">of </w:t>
      </w:r>
      <w:r w:rsidRPr="001C086F">
        <w:rPr>
          <w:rFonts w:ascii="Times New Roman" w:eastAsia="Times New Roman" w:hAnsi="Times New Roman" w:cs="Times New Roman"/>
          <w:sz w:val="24"/>
          <w:szCs w:val="24"/>
        </w:rPr>
        <w:t xml:space="preserve">the college and is broadly defined. </w:t>
      </w:r>
      <w:r w:rsidR="00446C08">
        <w:rPr>
          <w:rFonts w:ascii="Times New Roman" w:eastAsia="Times New Roman" w:hAnsi="Times New Roman" w:cs="Times New Roman"/>
          <w:sz w:val="24"/>
          <w:szCs w:val="24"/>
        </w:rPr>
        <w:t>I</w:t>
      </w:r>
      <w:r w:rsidRPr="001C086F">
        <w:rPr>
          <w:rFonts w:ascii="Times New Roman" w:eastAsia="Times New Roman" w:hAnsi="Times New Roman" w:cs="Times New Roman"/>
          <w:sz w:val="24"/>
          <w:szCs w:val="24"/>
        </w:rPr>
        <w:t>ndicators of excellence, impact, and academic leadership should be appropriate to the faculty</w:t>
      </w:r>
      <w:r w:rsidR="00446C08">
        <w:rPr>
          <w:rFonts w:ascii="Times New Roman" w:eastAsia="Times New Roman" w:hAnsi="Times New Roman" w:cs="Times New Roman"/>
          <w:sz w:val="24"/>
          <w:szCs w:val="24"/>
        </w:rPr>
        <w:t xml:space="preserve"> member</w:t>
      </w:r>
      <w:r w:rsidRPr="001C086F">
        <w:rPr>
          <w:rFonts w:ascii="Times New Roman" w:eastAsia="Times New Roman" w:hAnsi="Times New Roman" w:cs="Times New Roman"/>
          <w:sz w:val="24"/>
          <w:szCs w:val="24"/>
        </w:rPr>
        <w:t>'s</w:t>
      </w:r>
      <w:r w:rsidR="004A1A78">
        <w:rPr>
          <w:rFonts w:ascii="Times New Roman" w:eastAsia="Times New Roman" w:hAnsi="Times New Roman" w:cs="Times New Roman"/>
          <w:sz w:val="24"/>
          <w:szCs w:val="24"/>
        </w:rPr>
        <w:t xml:space="preserve"> </w:t>
      </w:r>
      <w:r w:rsidRPr="001C086F">
        <w:rPr>
          <w:rFonts w:ascii="Times New Roman" w:eastAsia="Times New Roman" w:hAnsi="Times New Roman" w:cs="Times New Roman"/>
          <w:sz w:val="24"/>
          <w:szCs w:val="24"/>
        </w:rPr>
        <w:t xml:space="preserve">area of inquiry. </w:t>
      </w:r>
    </w:p>
    <w:p w14:paraId="65B9C2D6" w14:textId="77777777" w:rsidR="00446C08" w:rsidRDefault="00446C0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036A3EE2" w14:textId="21B44EC1"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All TTE faculty members are expected to develop and maintain active, sustained, and reasonably focused scholarship programs. TTE faculty members are expected to demonstrate scholarly productivity through high-quality contributions and share their scholarship with wider academic, educational, and professional communities. In any collaborative work, the scholarly effort of the individual being evaluated must be articulated.</w:t>
      </w:r>
      <w:r w:rsidRPr="001C086F">
        <w:rPr>
          <w:rFonts w:ascii="Times New Roman" w:eastAsia="Times New Roman" w:hAnsi="Times New Roman" w:cs="Times New Roman"/>
        </w:rPr>
        <w:t xml:space="preserve"> </w:t>
      </w:r>
      <w:r w:rsidRPr="001C086F">
        <w:rPr>
          <w:rFonts w:ascii="Times New Roman" w:eastAsia="Times New Roman" w:hAnsi="Times New Roman" w:cs="Times New Roman"/>
          <w:sz w:val="24"/>
          <w:szCs w:val="24"/>
        </w:rPr>
        <w:t xml:space="preserve">In addition, TTE faculty members are expected to contribute to strengthening the connections between their research agendas with their teaching and service activities/portfolios. </w:t>
      </w:r>
      <w:r w:rsidR="00C33D78">
        <w:rPr>
          <w:rFonts w:ascii="Times New Roman" w:eastAsia="Times New Roman" w:hAnsi="Times New Roman" w:cs="Times New Roman"/>
          <w:sz w:val="24"/>
          <w:szCs w:val="24"/>
        </w:rPr>
        <w:t>CT</w:t>
      </w:r>
      <w:r w:rsidRPr="001C086F">
        <w:rPr>
          <w:rFonts w:ascii="Times New Roman" w:eastAsia="Times New Roman" w:hAnsi="Times New Roman" w:cs="Times New Roman"/>
          <w:sz w:val="24"/>
          <w:szCs w:val="24"/>
        </w:rPr>
        <w:t xml:space="preserve"> faculty</w:t>
      </w:r>
      <w:r w:rsidR="00446C08">
        <w:rPr>
          <w:rFonts w:ascii="Times New Roman" w:eastAsia="Times New Roman" w:hAnsi="Times New Roman" w:cs="Times New Roman"/>
          <w:sz w:val="24"/>
          <w:szCs w:val="24"/>
        </w:rPr>
        <w:t xml:space="preserve"> </w:t>
      </w:r>
      <w:r w:rsidRPr="001C086F">
        <w:rPr>
          <w:rFonts w:ascii="Times New Roman" w:eastAsia="Times New Roman" w:hAnsi="Times New Roman" w:cs="Times New Roman"/>
          <w:sz w:val="24"/>
          <w:szCs w:val="24"/>
        </w:rPr>
        <w:t>whose position description includes an expectation of scholarship are subject to participating in and/or contributing to the area of scholarship.</w:t>
      </w:r>
    </w:p>
    <w:p w14:paraId="68C85B83" w14:textId="77777777" w:rsidR="00446C08" w:rsidRPr="001C086F" w:rsidRDefault="00446C0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1DFB0572" w14:textId="41D7EBC6" w:rsidR="00752D14"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Scholars in education pursue various aims across a variety of scholarly and other communities (e.g., local, regional, national, </w:t>
      </w:r>
      <w:r w:rsidR="00413B90">
        <w:rPr>
          <w:rFonts w:ascii="Times New Roman" w:eastAsia="Times New Roman" w:hAnsi="Times New Roman" w:cs="Times New Roman"/>
          <w:sz w:val="24"/>
          <w:szCs w:val="24"/>
        </w:rPr>
        <w:t xml:space="preserve">and </w:t>
      </w:r>
      <w:r w:rsidRPr="001C086F">
        <w:rPr>
          <w:rFonts w:ascii="Times New Roman" w:eastAsia="Times New Roman" w:hAnsi="Times New Roman" w:cs="Times New Roman"/>
          <w:sz w:val="24"/>
          <w:szCs w:val="24"/>
        </w:rPr>
        <w:t>international). For example, scholarly contributions may be empirical, conceptual, methodological, pedagogical, and/or theoretical. Scholars can foster connections among existing knowledge bases within and/or across disciplines to provide new understandings and insights. Scholars can also engage in reflective action and leadership that applies current knowledge to address significant problems in the field</w:t>
      </w:r>
      <w:r w:rsidR="00446C08">
        <w:rPr>
          <w:rFonts w:ascii="Times New Roman" w:eastAsia="Times New Roman" w:hAnsi="Times New Roman" w:cs="Times New Roman"/>
          <w:sz w:val="24"/>
          <w:szCs w:val="24"/>
        </w:rPr>
        <w:t>,</w:t>
      </w:r>
      <w:r w:rsidRPr="001C086F">
        <w:rPr>
          <w:rFonts w:ascii="Times New Roman" w:eastAsia="Times New Roman" w:hAnsi="Times New Roman" w:cs="Times New Roman"/>
          <w:sz w:val="24"/>
          <w:szCs w:val="24"/>
        </w:rPr>
        <w:t xml:space="preserve"> or critically examine teaching and learning to facilitate innovative and effective educational practices. Scholars in education should seek, when appropriate, to align their scholarship with the </w:t>
      </w:r>
      <w:hyperlink r:id="rId17" w:anchor=":~:text=ASU%20is%20a%20comprehensive%20public,of%20the%20communities%20it%20serves" w:history="1">
        <w:r w:rsidR="00446C08" w:rsidRPr="00446C08">
          <w:rPr>
            <w:rStyle w:val="Hyperlink"/>
            <w:rFonts w:ascii="Times New Roman" w:eastAsia="Times New Roman" w:hAnsi="Times New Roman" w:cs="Times New Roman"/>
            <w:sz w:val="24"/>
            <w:szCs w:val="24"/>
          </w:rPr>
          <w:t>ASU Charter</w:t>
        </w:r>
      </w:hyperlink>
      <w:r w:rsidRPr="001C086F">
        <w:rPr>
          <w:rFonts w:ascii="Times New Roman" w:eastAsia="Times New Roman" w:hAnsi="Times New Roman" w:cs="Times New Roman"/>
          <w:sz w:val="24"/>
          <w:szCs w:val="24"/>
        </w:rPr>
        <w:t xml:space="preserve"> and</w:t>
      </w:r>
      <w:r w:rsidR="00446C08">
        <w:rPr>
          <w:rFonts w:ascii="Times New Roman" w:eastAsia="Times New Roman" w:hAnsi="Times New Roman" w:cs="Times New Roman"/>
          <w:sz w:val="24"/>
          <w:szCs w:val="24"/>
        </w:rPr>
        <w:t xml:space="preserve"> </w:t>
      </w:r>
      <w:hyperlink r:id="rId18" w:history="1">
        <w:r w:rsidR="00446C08" w:rsidRPr="00446C08">
          <w:rPr>
            <w:rStyle w:val="Hyperlink"/>
            <w:rFonts w:ascii="Times New Roman" w:eastAsia="Times New Roman" w:hAnsi="Times New Roman" w:cs="Times New Roman"/>
            <w:sz w:val="24"/>
            <w:szCs w:val="24"/>
          </w:rPr>
          <w:t>ASU</w:t>
        </w:r>
        <w:r w:rsidR="00A06EE4">
          <w:rPr>
            <w:rStyle w:val="Hyperlink"/>
            <w:rFonts w:ascii="Times New Roman" w:eastAsia="Times New Roman" w:hAnsi="Times New Roman" w:cs="Times New Roman"/>
            <w:sz w:val="24"/>
            <w:szCs w:val="24"/>
          </w:rPr>
          <w:t>’s</w:t>
        </w:r>
        <w:r w:rsidR="00446C08" w:rsidRPr="00446C08">
          <w:rPr>
            <w:rStyle w:val="Hyperlink"/>
            <w:rFonts w:ascii="Times New Roman" w:eastAsia="Times New Roman" w:hAnsi="Times New Roman" w:cs="Times New Roman"/>
            <w:sz w:val="24"/>
            <w:szCs w:val="24"/>
          </w:rPr>
          <w:t xml:space="preserve"> Design Aspirations</w:t>
        </w:r>
      </w:hyperlink>
      <w:r w:rsidRPr="001C086F">
        <w:rPr>
          <w:rFonts w:ascii="Times New Roman" w:eastAsia="Times New Roman" w:hAnsi="Times New Roman" w:cs="Times New Roman"/>
          <w:sz w:val="24"/>
          <w:szCs w:val="24"/>
        </w:rPr>
        <w:t xml:space="preserve"> as a way to contribute to needed insights </w:t>
      </w:r>
      <w:r w:rsidR="00641879">
        <w:rPr>
          <w:rFonts w:ascii="Times New Roman" w:eastAsia="Times New Roman" w:hAnsi="Times New Roman" w:cs="Times New Roman"/>
          <w:sz w:val="24"/>
          <w:szCs w:val="24"/>
        </w:rPr>
        <w:t>into</w:t>
      </w:r>
      <w:r w:rsidR="00641879" w:rsidRPr="001C086F">
        <w:rPr>
          <w:rFonts w:ascii="Times New Roman" w:eastAsia="Times New Roman" w:hAnsi="Times New Roman" w:cs="Times New Roman"/>
          <w:sz w:val="24"/>
          <w:szCs w:val="24"/>
        </w:rPr>
        <w:t xml:space="preserve"> </w:t>
      </w:r>
      <w:r w:rsidRPr="001C086F">
        <w:rPr>
          <w:rFonts w:ascii="Times New Roman" w:eastAsia="Times New Roman" w:hAnsi="Times New Roman" w:cs="Times New Roman"/>
          <w:sz w:val="24"/>
          <w:szCs w:val="24"/>
        </w:rPr>
        <w:t xml:space="preserve">key educational issues. </w:t>
      </w:r>
    </w:p>
    <w:p w14:paraId="420CB9BC" w14:textId="77777777" w:rsidR="00752D14" w:rsidRPr="001C086F"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7D3E3A88" w14:textId="57298E81" w:rsidR="00752D14" w:rsidRPr="001C086F" w:rsidRDefault="005328C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TTE f</w:t>
      </w:r>
      <w:r w:rsidR="0035498F" w:rsidRPr="001C086F">
        <w:rPr>
          <w:rFonts w:ascii="Times New Roman" w:eastAsia="Times New Roman" w:hAnsi="Times New Roman" w:cs="Times New Roman"/>
          <w:sz w:val="24"/>
          <w:szCs w:val="24"/>
        </w:rPr>
        <w:t>aculty portfolios should contain a range of published scholarly contributions that evidence excellence, impact (e.g., article-level-metrics, journal-level metrics, external citations, reviews, awards/distinctions), and academic leadership and collaboration</w:t>
      </w:r>
      <w:r w:rsidR="00DB1A21">
        <w:rPr>
          <w:rFonts w:ascii="Times New Roman" w:eastAsia="Times New Roman" w:hAnsi="Times New Roman" w:cs="Times New Roman"/>
          <w:sz w:val="24"/>
          <w:szCs w:val="24"/>
        </w:rPr>
        <w:t>,</w:t>
      </w:r>
      <w:r w:rsidR="0035498F" w:rsidRPr="001C086F">
        <w:rPr>
          <w:rFonts w:ascii="Times New Roman" w:eastAsia="Times New Roman" w:hAnsi="Times New Roman" w:cs="Times New Roman"/>
          <w:sz w:val="24"/>
          <w:szCs w:val="24"/>
        </w:rPr>
        <w:t xml:space="preserve"> examples which include but are not limited to: </w:t>
      </w:r>
    </w:p>
    <w:p w14:paraId="5758806C" w14:textId="77777777"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refereed journal articles</w:t>
      </w:r>
    </w:p>
    <w:p w14:paraId="79438360" w14:textId="77777777"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non-refereed journal articles</w:t>
      </w:r>
    </w:p>
    <w:p w14:paraId="2E13F968" w14:textId="7FB49835"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books (authored, co</w:t>
      </w:r>
      <w:r w:rsidR="00413B90">
        <w:rPr>
          <w:rFonts w:ascii="Times New Roman" w:eastAsia="Times New Roman" w:hAnsi="Times New Roman" w:cs="Times New Roman"/>
          <w:sz w:val="24"/>
          <w:szCs w:val="24"/>
        </w:rPr>
        <w:t>-</w:t>
      </w:r>
      <w:r w:rsidRPr="001C086F">
        <w:rPr>
          <w:rFonts w:ascii="Times New Roman" w:eastAsia="Times New Roman" w:hAnsi="Times New Roman" w:cs="Times New Roman"/>
          <w:sz w:val="24"/>
          <w:szCs w:val="24"/>
        </w:rPr>
        <w:t>authored, edited)</w:t>
      </w:r>
    </w:p>
    <w:p w14:paraId="4F53C440" w14:textId="77777777"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chapters in books</w:t>
      </w:r>
    </w:p>
    <w:p w14:paraId="5B9CB14D" w14:textId="77777777"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non-refereed publications</w:t>
      </w:r>
    </w:p>
    <w:p w14:paraId="254ABFF3" w14:textId="77777777" w:rsidR="00752D14" w:rsidRPr="001C086F" w:rsidRDefault="0035498F" w:rsidP="0017430C">
      <w:pPr>
        <w:widowControl w:val="0"/>
        <w:numPr>
          <w:ilvl w:val="0"/>
          <w:numId w:val="2"/>
        </w:numPr>
        <w:pBdr>
          <w:top w:val="nil"/>
          <w:left w:val="nil"/>
          <w:bottom w:val="nil"/>
          <w:right w:val="nil"/>
          <w:between w:val="nil"/>
        </w:pBd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non-journal publications</w:t>
      </w:r>
    </w:p>
    <w:p w14:paraId="3FB2931C" w14:textId="5B0F92BD" w:rsidR="00752D14" w:rsidRPr="001C086F" w:rsidRDefault="0035498F" w:rsidP="0017430C">
      <w:pPr>
        <w:widowControl w:val="0"/>
        <w:numPr>
          <w:ilvl w:val="0"/>
          <w:numId w:val="2"/>
        </w:numPr>
        <w:spacing w:line="240" w:lineRule="auto"/>
        <w:ind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published conference proceedings</w:t>
      </w:r>
    </w:p>
    <w:p w14:paraId="40C27E1A" w14:textId="77777777" w:rsidR="00752D14"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 </w:t>
      </w:r>
    </w:p>
    <w:p w14:paraId="006C78A0" w14:textId="46C716D1" w:rsidR="00752D14"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6"/>
          <w:szCs w:val="26"/>
        </w:rPr>
      </w:pPr>
      <w:r w:rsidRPr="001C086F">
        <w:rPr>
          <w:rFonts w:ascii="Times New Roman" w:eastAsia="Times New Roman" w:hAnsi="Times New Roman" w:cs="Times New Roman"/>
          <w:sz w:val="24"/>
          <w:szCs w:val="24"/>
        </w:rPr>
        <w:lastRenderedPageBreak/>
        <w:t xml:space="preserve">Examples of </w:t>
      </w:r>
      <w:r w:rsidRPr="005328C8">
        <w:rPr>
          <w:rFonts w:ascii="Times New Roman" w:eastAsia="Times New Roman" w:hAnsi="Times New Roman" w:cs="Times New Roman"/>
          <w:i/>
          <w:iCs/>
          <w:sz w:val="24"/>
          <w:szCs w:val="24"/>
        </w:rPr>
        <w:t>not yet published scholarly contributions</w:t>
      </w:r>
      <w:r w:rsidRPr="001C086F">
        <w:rPr>
          <w:rFonts w:ascii="Times New Roman" w:eastAsia="Times New Roman" w:hAnsi="Times New Roman" w:cs="Times New Roman"/>
          <w:sz w:val="24"/>
          <w:szCs w:val="24"/>
        </w:rPr>
        <w:t xml:space="preserve"> include the above in press, under review, or in progress. Please note that during promotion/tenure reviews, peer-reviewed scholarly publications are preferred both internally and externally. </w:t>
      </w:r>
    </w:p>
    <w:p w14:paraId="5C5C490C" w14:textId="77777777" w:rsidR="00752D14"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 </w:t>
      </w:r>
    </w:p>
    <w:p w14:paraId="5B6B30AB" w14:textId="77777777" w:rsidR="00752D14"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Examples of other scholarly contributions include but are not limited to:</w:t>
      </w:r>
    </w:p>
    <w:p w14:paraId="3A36F739" w14:textId="77777777" w:rsidR="00752D14" w:rsidRPr="001C086F" w:rsidRDefault="0035498F">
      <w:pPr>
        <w:widowControl w:val="0"/>
        <w:numPr>
          <w:ilvl w:val="0"/>
          <w:numId w:val="4"/>
        </w:numP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funded grants</w:t>
      </w:r>
    </w:p>
    <w:p w14:paraId="69B71D25" w14:textId="77777777" w:rsidR="00752D14" w:rsidRPr="001C086F" w:rsidRDefault="0035498F">
      <w:pPr>
        <w:widowControl w:val="0"/>
        <w:numPr>
          <w:ilvl w:val="0"/>
          <w:numId w:val="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unfunded grants</w:t>
      </w:r>
    </w:p>
    <w:p w14:paraId="30E613AC" w14:textId="68046FE5" w:rsidR="00752D14" w:rsidRPr="001C086F" w:rsidRDefault="0035498F">
      <w:pPr>
        <w:widowControl w:val="0"/>
        <w:numPr>
          <w:ilvl w:val="0"/>
          <w:numId w:val="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conference presentations (</w:t>
      </w:r>
      <w:r w:rsidR="005328C8">
        <w:rPr>
          <w:rFonts w:ascii="Times New Roman" w:eastAsia="Times New Roman" w:hAnsi="Times New Roman" w:cs="Times New Roman"/>
          <w:sz w:val="24"/>
          <w:szCs w:val="24"/>
        </w:rPr>
        <w:t xml:space="preserve">e.g., </w:t>
      </w:r>
      <w:r w:rsidRPr="001C086F">
        <w:rPr>
          <w:rFonts w:ascii="Times New Roman" w:eastAsia="Times New Roman" w:hAnsi="Times New Roman" w:cs="Times New Roman"/>
          <w:sz w:val="24"/>
          <w:szCs w:val="24"/>
        </w:rPr>
        <w:t>national, international, regional, local)</w:t>
      </w:r>
    </w:p>
    <w:p w14:paraId="058D714C" w14:textId="42A67F54" w:rsidR="00752D14" w:rsidRPr="001C086F" w:rsidRDefault="0035498F">
      <w:pPr>
        <w:widowControl w:val="0"/>
        <w:numPr>
          <w:ilvl w:val="0"/>
          <w:numId w:val="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professional workshops (</w:t>
      </w:r>
      <w:r w:rsidR="005328C8">
        <w:rPr>
          <w:rFonts w:ascii="Times New Roman" w:eastAsia="Times New Roman" w:hAnsi="Times New Roman" w:cs="Times New Roman"/>
          <w:sz w:val="24"/>
          <w:szCs w:val="24"/>
        </w:rPr>
        <w:t xml:space="preserve">e.g., </w:t>
      </w:r>
      <w:r w:rsidRPr="001C086F">
        <w:rPr>
          <w:rFonts w:ascii="Times New Roman" w:eastAsia="Times New Roman" w:hAnsi="Times New Roman" w:cs="Times New Roman"/>
          <w:sz w:val="24"/>
          <w:szCs w:val="24"/>
        </w:rPr>
        <w:t>national, international, regional, local)</w:t>
      </w:r>
    </w:p>
    <w:p w14:paraId="1E4032D9" w14:textId="77777777" w:rsidR="00752D14" w:rsidRPr="001C086F" w:rsidRDefault="0035498F">
      <w:pPr>
        <w:widowControl w:val="0"/>
        <w:numPr>
          <w:ilvl w:val="0"/>
          <w:numId w:val="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public intellectualism (e.g., blogs, op-eds, apps, social media posts, editorials)</w:t>
      </w:r>
    </w:p>
    <w:p w14:paraId="1FEB7830" w14:textId="77777777" w:rsidR="00752D14" w:rsidRPr="001C086F"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276E9C9C" w14:textId="41EF74EB"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While MLFTC acknowledges that </w:t>
      </w:r>
      <w:r w:rsidR="003540E7" w:rsidRPr="001C086F">
        <w:rPr>
          <w:rFonts w:ascii="Times New Roman" w:eastAsia="Times New Roman" w:hAnsi="Times New Roman" w:cs="Times New Roman"/>
          <w:sz w:val="24"/>
          <w:szCs w:val="24"/>
        </w:rPr>
        <w:t xml:space="preserve">historically </w:t>
      </w:r>
      <w:r w:rsidRPr="001C086F">
        <w:rPr>
          <w:rFonts w:ascii="Times New Roman" w:eastAsia="Times New Roman" w:hAnsi="Times New Roman" w:cs="Times New Roman"/>
          <w:sz w:val="24"/>
          <w:szCs w:val="24"/>
        </w:rPr>
        <w:t xml:space="preserve">listing the total number of peer-reviewed publications one might reach before promotion with tenure might serve as a helpful reference or guideline, MLFTC concedes that such numbers are arbitrary and often yield oversimplified indicators of scholarly productivity, especially when considering how such numbers may not apply to or generalize across the academic work in which MLFTC </w:t>
      </w:r>
      <w:r w:rsidR="005328C8">
        <w:rPr>
          <w:rFonts w:ascii="Times New Roman" w:eastAsia="Times New Roman" w:hAnsi="Times New Roman" w:cs="Times New Roman"/>
          <w:sz w:val="24"/>
          <w:szCs w:val="24"/>
        </w:rPr>
        <w:t xml:space="preserve">TTE </w:t>
      </w:r>
      <w:r w:rsidRPr="001C086F">
        <w:rPr>
          <w:rFonts w:ascii="Times New Roman" w:eastAsia="Times New Roman" w:hAnsi="Times New Roman" w:cs="Times New Roman"/>
          <w:sz w:val="24"/>
          <w:szCs w:val="24"/>
        </w:rPr>
        <w:t xml:space="preserve">faculty are engaged. Given the wide range </w:t>
      </w:r>
      <w:r w:rsidR="005328C8">
        <w:rPr>
          <w:rFonts w:ascii="Times New Roman" w:eastAsia="Times New Roman" w:hAnsi="Times New Roman" w:cs="Times New Roman"/>
          <w:sz w:val="24"/>
          <w:szCs w:val="24"/>
        </w:rPr>
        <w:t>of scholarship across</w:t>
      </w:r>
      <w:r w:rsidRPr="001C086F">
        <w:rPr>
          <w:rFonts w:ascii="Times New Roman" w:eastAsia="Times New Roman" w:hAnsi="Times New Roman" w:cs="Times New Roman"/>
          <w:sz w:val="24"/>
          <w:szCs w:val="24"/>
        </w:rPr>
        <w:t xml:space="preserve"> faculty members’ portfolios that MLFTC encourages and expects, it is difficult to specify the exact quantity of scholarship contributions necessary for a </w:t>
      </w:r>
      <w:r w:rsidR="005328C8">
        <w:rPr>
          <w:rFonts w:ascii="Times New Roman" w:eastAsia="Times New Roman" w:hAnsi="Times New Roman" w:cs="Times New Roman"/>
          <w:sz w:val="24"/>
          <w:szCs w:val="24"/>
        </w:rPr>
        <w:t xml:space="preserve">TTE </w:t>
      </w:r>
      <w:r w:rsidRPr="001C086F">
        <w:rPr>
          <w:rFonts w:ascii="Times New Roman" w:eastAsia="Times New Roman" w:hAnsi="Times New Roman" w:cs="Times New Roman"/>
          <w:sz w:val="24"/>
          <w:szCs w:val="24"/>
        </w:rPr>
        <w:t xml:space="preserve">faculty member to be granted tenure and promotion. Accordingly, MLFTC encourages </w:t>
      </w:r>
      <w:r w:rsidR="005328C8">
        <w:rPr>
          <w:rFonts w:ascii="Times New Roman" w:eastAsia="Times New Roman" w:hAnsi="Times New Roman" w:cs="Times New Roman"/>
          <w:sz w:val="24"/>
          <w:szCs w:val="24"/>
        </w:rPr>
        <w:t xml:space="preserve">TTE </w:t>
      </w:r>
      <w:r w:rsidRPr="001C086F">
        <w:rPr>
          <w:rFonts w:ascii="Times New Roman" w:eastAsia="Times New Roman" w:hAnsi="Times New Roman" w:cs="Times New Roman"/>
          <w:sz w:val="24"/>
          <w:szCs w:val="24"/>
        </w:rPr>
        <w:t xml:space="preserve">faculty to publish articles in peer-reviewed journals commensurate with what might be expected in their particular areas of (inter)disciplinary work, and detail why publications in such venues fit with </w:t>
      </w:r>
      <w:r w:rsidR="00A06EE4" w:rsidRPr="001C086F">
        <w:rPr>
          <w:rFonts w:ascii="Times New Roman" w:eastAsia="Times New Roman" w:hAnsi="Times New Roman" w:cs="Times New Roman"/>
          <w:sz w:val="24"/>
          <w:szCs w:val="24"/>
        </w:rPr>
        <w:t xml:space="preserve">the </w:t>
      </w:r>
      <w:hyperlink r:id="rId19" w:anchor=":~:text=ASU%20is%20a%20comprehensive%20public,of%20the%20communities%20it%20serves" w:history="1">
        <w:r w:rsidR="00A06EE4" w:rsidRPr="00446C08">
          <w:rPr>
            <w:rStyle w:val="Hyperlink"/>
            <w:rFonts w:ascii="Times New Roman" w:eastAsia="Times New Roman" w:hAnsi="Times New Roman" w:cs="Times New Roman"/>
            <w:sz w:val="24"/>
            <w:szCs w:val="24"/>
          </w:rPr>
          <w:t>ASU Charter</w:t>
        </w:r>
      </w:hyperlink>
      <w:r w:rsidR="00A06EE4" w:rsidRPr="001C086F">
        <w:rPr>
          <w:rFonts w:ascii="Times New Roman" w:eastAsia="Times New Roman" w:hAnsi="Times New Roman" w:cs="Times New Roman"/>
          <w:sz w:val="24"/>
          <w:szCs w:val="24"/>
        </w:rPr>
        <w:t xml:space="preserve"> and</w:t>
      </w:r>
      <w:r w:rsidR="00A06EE4">
        <w:rPr>
          <w:rFonts w:ascii="Times New Roman" w:eastAsia="Times New Roman" w:hAnsi="Times New Roman" w:cs="Times New Roman"/>
          <w:sz w:val="24"/>
          <w:szCs w:val="24"/>
        </w:rPr>
        <w:t xml:space="preserve"> </w:t>
      </w:r>
      <w:hyperlink r:id="rId20" w:history="1">
        <w:r w:rsidR="00A06EE4" w:rsidRPr="00446C08">
          <w:rPr>
            <w:rStyle w:val="Hyperlink"/>
            <w:rFonts w:ascii="Times New Roman" w:eastAsia="Times New Roman" w:hAnsi="Times New Roman" w:cs="Times New Roman"/>
            <w:sz w:val="24"/>
            <w:szCs w:val="24"/>
          </w:rPr>
          <w:t>ASU</w:t>
        </w:r>
        <w:r w:rsidR="00A06EE4">
          <w:rPr>
            <w:rStyle w:val="Hyperlink"/>
            <w:rFonts w:ascii="Times New Roman" w:eastAsia="Times New Roman" w:hAnsi="Times New Roman" w:cs="Times New Roman"/>
            <w:sz w:val="24"/>
            <w:szCs w:val="24"/>
          </w:rPr>
          <w:t>’s</w:t>
        </w:r>
        <w:r w:rsidR="00A06EE4" w:rsidRPr="00446C08">
          <w:rPr>
            <w:rStyle w:val="Hyperlink"/>
            <w:rFonts w:ascii="Times New Roman" w:eastAsia="Times New Roman" w:hAnsi="Times New Roman" w:cs="Times New Roman"/>
            <w:sz w:val="24"/>
            <w:szCs w:val="24"/>
          </w:rPr>
          <w:t xml:space="preserve"> Design Aspirations</w:t>
        </w:r>
      </w:hyperlink>
      <w:r w:rsidR="00A06EE4" w:rsidRPr="001C086F">
        <w:rPr>
          <w:rFonts w:ascii="Times New Roman" w:eastAsia="Times New Roman" w:hAnsi="Times New Roman" w:cs="Times New Roman"/>
          <w:sz w:val="24"/>
          <w:szCs w:val="24"/>
        </w:rPr>
        <w:t xml:space="preserve"> </w:t>
      </w:r>
      <w:r w:rsidRPr="001C086F">
        <w:rPr>
          <w:rFonts w:ascii="Times New Roman" w:eastAsia="Times New Roman" w:hAnsi="Times New Roman" w:cs="Times New Roman"/>
          <w:sz w:val="24"/>
          <w:szCs w:val="24"/>
        </w:rPr>
        <w:t xml:space="preserve">and maintain what might be deemed as a solid trajectory in such scholarly products over time. </w:t>
      </w:r>
    </w:p>
    <w:p w14:paraId="01FF119B" w14:textId="77777777" w:rsidR="005328C8" w:rsidRPr="001C086F" w:rsidRDefault="005328C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rPr>
      </w:pPr>
    </w:p>
    <w:p w14:paraId="597AD7F9" w14:textId="2B29D9C8" w:rsidR="00752D14" w:rsidRDefault="0035498F" w:rsidP="0017430C">
      <w:pPr>
        <w:pStyle w:val="Heading4"/>
        <w:spacing w:before="0" w:after="0" w:line="240" w:lineRule="auto"/>
        <w:ind w:left="1440" w:right="1440"/>
        <w:rPr>
          <w:rFonts w:ascii="Times New Roman" w:eastAsia="Times New Roman" w:hAnsi="Times New Roman" w:cs="Times New Roman"/>
          <w:sz w:val="28"/>
          <w:szCs w:val="28"/>
        </w:rPr>
      </w:pPr>
      <w:bookmarkStart w:id="8" w:name="_4d34og8" w:colFirst="0" w:colLast="0"/>
      <w:bookmarkEnd w:id="8"/>
      <w:r w:rsidRPr="00A06EE4">
        <w:rPr>
          <w:rFonts w:ascii="Times New Roman" w:eastAsia="Times New Roman" w:hAnsi="Times New Roman" w:cs="Times New Roman"/>
          <w:sz w:val="28"/>
          <w:szCs w:val="28"/>
        </w:rPr>
        <w:t>2.2.1.2 Academic Leadership in Scholarship</w:t>
      </w:r>
    </w:p>
    <w:p w14:paraId="18C607D0" w14:textId="77777777" w:rsidR="00E928E6" w:rsidRPr="00E928E6" w:rsidRDefault="00E928E6" w:rsidP="00E928E6"/>
    <w:p w14:paraId="58BC5A5A" w14:textId="1D3DFD75" w:rsidR="00752D14" w:rsidRPr="001C086F" w:rsidRDefault="005328C8"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TTE f</w:t>
      </w:r>
      <w:r w:rsidR="0035498F" w:rsidRPr="001C086F">
        <w:rPr>
          <w:rFonts w:ascii="Times New Roman" w:eastAsia="Times New Roman" w:hAnsi="Times New Roman" w:cs="Times New Roman"/>
          <w:sz w:val="24"/>
          <w:szCs w:val="24"/>
        </w:rPr>
        <w:t xml:space="preserve">aculty members within MLFTC are expected to be educational leaders who influence their colleagues and programs in significant scholarly ways. Such activities should be aimed at influencing and advancing </w:t>
      </w:r>
      <w:r w:rsidR="00F33D52">
        <w:rPr>
          <w:rFonts w:ascii="Times New Roman" w:eastAsia="Times New Roman" w:hAnsi="Times New Roman" w:cs="Times New Roman"/>
          <w:sz w:val="24"/>
          <w:szCs w:val="24"/>
        </w:rPr>
        <w:t>MLFTC’s</w:t>
      </w:r>
      <w:r w:rsidR="0035498F" w:rsidRPr="001C086F">
        <w:rPr>
          <w:rFonts w:ascii="Times New Roman" w:eastAsia="Times New Roman" w:hAnsi="Times New Roman" w:cs="Times New Roman"/>
          <w:sz w:val="24"/>
          <w:szCs w:val="24"/>
        </w:rPr>
        <w:t xml:space="preserve"> mission, the educational community</w:t>
      </w:r>
      <w:r w:rsidR="007E65A0">
        <w:rPr>
          <w:rFonts w:ascii="Times New Roman" w:eastAsia="Times New Roman" w:hAnsi="Times New Roman" w:cs="Times New Roman"/>
          <w:sz w:val="24"/>
          <w:szCs w:val="24"/>
        </w:rPr>
        <w:t>,</w:t>
      </w:r>
      <w:r w:rsidR="0035498F" w:rsidRPr="001C086F">
        <w:rPr>
          <w:rFonts w:ascii="Times New Roman" w:eastAsia="Times New Roman" w:hAnsi="Times New Roman" w:cs="Times New Roman"/>
          <w:sz w:val="24"/>
          <w:szCs w:val="24"/>
        </w:rPr>
        <w:t xml:space="preserve"> and ASU charter and design </w:t>
      </w:r>
      <w:r w:rsidR="0035498F" w:rsidRPr="00CF32FF">
        <w:rPr>
          <w:rFonts w:ascii="Times New Roman" w:eastAsia="Times New Roman" w:hAnsi="Times New Roman" w:cs="Times New Roman"/>
          <w:color w:val="000000" w:themeColor="text1"/>
          <w:sz w:val="24"/>
          <w:szCs w:val="24"/>
        </w:rPr>
        <w:t xml:space="preserve">aspirations. </w:t>
      </w:r>
      <w:r w:rsidR="00AD2B2C" w:rsidRPr="00CF32FF">
        <w:rPr>
          <w:rFonts w:ascii="Times New Roman" w:eastAsia="Times New Roman" w:hAnsi="Times New Roman" w:cs="Times New Roman"/>
          <w:color w:val="000000" w:themeColor="text1"/>
          <w:sz w:val="24"/>
          <w:szCs w:val="24"/>
        </w:rPr>
        <w:t>CT</w:t>
      </w:r>
      <w:r w:rsidRPr="00CF32FF">
        <w:rPr>
          <w:rFonts w:ascii="Times New Roman" w:eastAsia="Times New Roman" w:hAnsi="Times New Roman" w:cs="Times New Roman"/>
          <w:color w:val="000000" w:themeColor="text1"/>
          <w:sz w:val="24"/>
          <w:szCs w:val="24"/>
        </w:rPr>
        <w:t xml:space="preserve"> faculty whose position description includes an expectation of academic leadership in scholarship are subject to participating in and/or contributing to the area of academic leadership in scholarship.</w:t>
      </w:r>
    </w:p>
    <w:p w14:paraId="4CE301F1" w14:textId="77777777" w:rsidR="00752D14" w:rsidRPr="001C086F"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5E3A423B" w14:textId="57B1DABD" w:rsidR="00E928E6" w:rsidRPr="001C086F"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MLFTC recognizes that many larger projects can and often should reach different audiences, including peers and relevant professional and local communities. When it advances a scholarly agenda's impact in an applied setting, a connected series of publications along with educational media that reaches different audiences can often be of higher value than refereed journal articles alone and are to be evaluated as a collection when the </w:t>
      </w:r>
      <w:r w:rsidR="005328C8">
        <w:rPr>
          <w:rFonts w:ascii="Times New Roman" w:eastAsia="Times New Roman" w:hAnsi="Times New Roman" w:cs="Times New Roman"/>
          <w:sz w:val="24"/>
          <w:szCs w:val="24"/>
        </w:rPr>
        <w:t xml:space="preserve">TTE </w:t>
      </w:r>
      <w:r w:rsidRPr="001C086F">
        <w:rPr>
          <w:rFonts w:ascii="Times New Roman" w:eastAsia="Times New Roman" w:hAnsi="Times New Roman" w:cs="Times New Roman"/>
          <w:sz w:val="24"/>
          <w:szCs w:val="24"/>
        </w:rPr>
        <w:t>faculty member indicates it is appropriate.</w:t>
      </w:r>
      <w:r w:rsidR="005328C8">
        <w:rPr>
          <w:rFonts w:ascii="Times New Roman" w:eastAsia="Times New Roman" w:hAnsi="Times New Roman" w:cs="Times New Roman"/>
          <w:sz w:val="24"/>
          <w:szCs w:val="24"/>
        </w:rPr>
        <w:t xml:space="preserve"> </w:t>
      </w:r>
      <w:r w:rsidRPr="001C086F">
        <w:rPr>
          <w:rFonts w:ascii="Times New Roman" w:eastAsia="Times New Roman" w:hAnsi="Times New Roman" w:cs="Times New Roman"/>
          <w:sz w:val="24"/>
          <w:szCs w:val="24"/>
        </w:rPr>
        <w:t>Examples of academic leadership in scholarship include but are not limited to:</w:t>
      </w:r>
    </w:p>
    <w:p w14:paraId="07F6DC70" w14:textId="77777777"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initiating an individual or collaborative successful research endeavor locally, nationally, or internationally</w:t>
      </w:r>
    </w:p>
    <w:p w14:paraId="24735D13" w14:textId="77777777"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initiating collaborative publications such as books or a special issue that </w:t>
      </w:r>
      <w:proofErr w:type="gramStart"/>
      <w:r w:rsidRPr="001C086F">
        <w:rPr>
          <w:rFonts w:ascii="Times New Roman" w:eastAsia="Times New Roman" w:hAnsi="Times New Roman" w:cs="Times New Roman"/>
          <w:sz w:val="24"/>
          <w:szCs w:val="24"/>
        </w:rPr>
        <w:t>lead</w:t>
      </w:r>
      <w:proofErr w:type="gramEnd"/>
      <w:r w:rsidRPr="001C086F">
        <w:rPr>
          <w:rFonts w:ascii="Times New Roman" w:eastAsia="Times New Roman" w:hAnsi="Times New Roman" w:cs="Times New Roman"/>
          <w:sz w:val="24"/>
          <w:szCs w:val="24"/>
        </w:rPr>
        <w:t xml:space="preserve"> to published research</w:t>
      </w:r>
    </w:p>
    <w:p w14:paraId="78C67811" w14:textId="6FCD919D"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engaging in reviews of the literature that illuminate persistent issues in education and policy</w:t>
      </w:r>
    </w:p>
    <w:p w14:paraId="70F92008" w14:textId="77777777"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engaging in action research projects in school in collaboration with teachers and </w:t>
      </w:r>
      <w:r w:rsidRPr="001C086F">
        <w:rPr>
          <w:rFonts w:ascii="Times New Roman" w:eastAsia="Times New Roman" w:hAnsi="Times New Roman" w:cs="Times New Roman"/>
          <w:sz w:val="24"/>
          <w:szCs w:val="24"/>
        </w:rPr>
        <w:lastRenderedPageBreak/>
        <w:t>prospective teachers</w:t>
      </w:r>
    </w:p>
    <w:p w14:paraId="204EB67D" w14:textId="640B2793"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engaging in research studies in collaboration with school boards or policymakers</w:t>
      </w:r>
    </w:p>
    <w:p w14:paraId="06BB9C53" w14:textId="77777777"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demonstrated social or other types of impact such as the development of standards and technologies or giving voice to the struggles of disadvantaged communities</w:t>
      </w:r>
    </w:p>
    <w:p w14:paraId="6668D77E" w14:textId="77777777" w:rsidR="00752D14" w:rsidRPr="001C086F" w:rsidRDefault="0035498F">
      <w:pPr>
        <w:widowControl w:val="0"/>
        <w:numPr>
          <w:ilvl w:val="0"/>
          <w:numId w:val="3"/>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C086F">
        <w:rPr>
          <w:rFonts w:ascii="Times New Roman" w:eastAsia="Times New Roman" w:hAnsi="Times New Roman" w:cs="Times New Roman"/>
          <w:sz w:val="24"/>
          <w:szCs w:val="24"/>
        </w:rPr>
        <w:t xml:space="preserve">demonstrated leadership in research or scholarly professional organizations related to the support and improvement of education research </w:t>
      </w:r>
    </w:p>
    <w:p w14:paraId="5F1FF794"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6869DDCD" w14:textId="0DCD95D9" w:rsidR="00752D14" w:rsidRDefault="0035498F" w:rsidP="0017430C">
      <w:pPr>
        <w:spacing w:line="240" w:lineRule="auto"/>
        <w:ind w:left="1440" w:right="1440"/>
        <w:rPr>
          <w:rFonts w:ascii="Times New Roman" w:eastAsia="Times New Roman" w:hAnsi="Times New Roman" w:cs="Times New Roman"/>
          <w:bCs/>
        </w:rPr>
      </w:pPr>
      <w:bookmarkStart w:id="9" w:name="_2s8eyo1" w:colFirst="0" w:colLast="0"/>
      <w:bookmarkEnd w:id="9"/>
      <w:r w:rsidRPr="00C75E18">
        <w:rPr>
          <w:rFonts w:ascii="Times New Roman" w:eastAsia="Times New Roman" w:hAnsi="Times New Roman" w:cs="Times New Roman"/>
          <w:bCs/>
          <w:sz w:val="24"/>
          <w:szCs w:val="24"/>
        </w:rPr>
        <w:t>See also:</w:t>
      </w:r>
      <w:r w:rsidRPr="00C75E18">
        <w:rPr>
          <w:rFonts w:ascii="Times New Roman" w:eastAsia="Times New Roman" w:hAnsi="Times New Roman" w:cs="Times New Roman"/>
          <w:bCs/>
        </w:rPr>
        <w:t xml:space="preserve"> </w:t>
      </w:r>
      <w:hyperlink r:id="rId21">
        <w:r w:rsidRPr="00EE3450">
          <w:rPr>
            <w:rFonts w:ascii="Times New Roman" w:eastAsia="Times New Roman" w:hAnsi="Times New Roman" w:cs="Times New Roman"/>
            <w:bCs/>
            <w:color w:val="0000FF"/>
            <w:sz w:val="24"/>
            <w:szCs w:val="24"/>
            <w:u w:val="single"/>
          </w:rPr>
          <w:t>ACD 202–01: Faculty Responsibilities</w:t>
        </w:r>
      </w:hyperlink>
      <w:r w:rsidRPr="00EE3450">
        <w:rPr>
          <w:rFonts w:ascii="Times New Roman" w:eastAsia="Times New Roman" w:hAnsi="Times New Roman" w:cs="Times New Roman"/>
          <w:bCs/>
          <w:color w:val="0000FF"/>
          <w:sz w:val="24"/>
          <w:szCs w:val="24"/>
        </w:rPr>
        <w:t xml:space="preserve">; </w:t>
      </w:r>
      <w:hyperlink r:id="rId22">
        <w:r w:rsidRPr="00EE3450">
          <w:rPr>
            <w:rFonts w:ascii="Times New Roman" w:eastAsia="Times New Roman" w:hAnsi="Times New Roman" w:cs="Times New Roman"/>
            <w:bCs/>
            <w:color w:val="0000FF"/>
            <w:sz w:val="24"/>
            <w:szCs w:val="24"/>
            <w:u w:val="single"/>
          </w:rPr>
          <w:t>ACD 506–05: Faculty Promotion</w:t>
        </w:r>
      </w:hyperlink>
      <w:r w:rsidRPr="00EE3450">
        <w:rPr>
          <w:rFonts w:ascii="Times New Roman" w:eastAsia="Times New Roman" w:hAnsi="Times New Roman" w:cs="Times New Roman"/>
          <w:bCs/>
          <w:color w:val="0000FF"/>
        </w:rPr>
        <w:t>;</w:t>
      </w:r>
      <w:r w:rsidRPr="00C75E18">
        <w:rPr>
          <w:rFonts w:ascii="Times New Roman" w:eastAsia="Times New Roman" w:hAnsi="Times New Roman" w:cs="Times New Roman"/>
          <w:bCs/>
        </w:rPr>
        <w:t xml:space="preserve"> </w:t>
      </w:r>
      <w:hyperlink r:id="rId23" w:history="1">
        <w:r w:rsidRPr="0012306B">
          <w:rPr>
            <w:rStyle w:val="Hyperlink"/>
            <w:rFonts w:ascii="Times New Roman" w:eastAsia="Times New Roman" w:hAnsi="Times New Roman" w:cs="Times New Roman"/>
            <w:bCs/>
            <w:sz w:val="24"/>
            <w:szCs w:val="24"/>
            <w:highlight w:val="white"/>
          </w:rPr>
          <w:t>ACD 507-05, "Academic Professional Probationary Appointments"</w:t>
        </w:r>
      </w:hyperlink>
      <w:r w:rsidR="001B2A87">
        <w:rPr>
          <w:rFonts w:ascii="Times New Roman" w:eastAsia="Times New Roman" w:hAnsi="Times New Roman" w:cs="Times New Roman"/>
          <w:bCs/>
          <w:sz w:val="24"/>
          <w:szCs w:val="24"/>
          <w:highlight w:val="white"/>
        </w:rPr>
        <w:t>;</w:t>
      </w:r>
      <w:r w:rsidRPr="00C75E18">
        <w:rPr>
          <w:rFonts w:ascii="Times New Roman" w:eastAsia="Times New Roman" w:hAnsi="Times New Roman" w:cs="Times New Roman"/>
          <w:bCs/>
          <w:sz w:val="24"/>
          <w:szCs w:val="24"/>
          <w:highlight w:val="white"/>
        </w:rPr>
        <w:t xml:space="preserve"> </w:t>
      </w:r>
      <w:hyperlink r:id="rId24" w:history="1">
        <w:r w:rsidRPr="0012306B">
          <w:rPr>
            <w:rStyle w:val="Hyperlink"/>
            <w:rFonts w:ascii="Times New Roman" w:eastAsia="Times New Roman" w:hAnsi="Times New Roman" w:cs="Times New Roman"/>
            <w:bCs/>
            <w:sz w:val="24"/>
            <w:szCs w:val="24"/>
            <w:highlight w:val="white"/>
          </w:rPr>
          <w:t>ACD 507-06, "Continuing Appointment for Academic Professionals</w:t>
        </w:r>
      </w:hyperlink>
      <w:r w:rsidRPr="00C75E18">
        <w:rPr>
          <w:rFonts w:ascii="Times New Roman" w:eastAsia="Times New Roman" w:hAnsi="Times New Roman" w:cs="Times New Roman"/>
          <w:bCs/>
          <w:sz w:val="24"/>
          <w:szCs w:val="24"/>
          <w:highlight w:val="white"/>
        </w:rPr>
        <w:t>"</w:t>
      </w:r>
      <w:r w:rsidR="001B2A87">
        <w:rPr>
          <w:rFonts w:ascii="Times New Roman" w:eastAsia="Times New Roman" w:hAnsi="Times New Roman" w:cs="Times New Roman"/>
          <w:bCs/>
          <w:sz w:val="24"/>
          <w:szCs w:val="24"/>
          <w:highlight w:val="white"/>
        </w:rPr>
        <w:t>;</w:t>
      </w:r>
      <w:r w:rsidRPr="00C75E18">
        <w:rPr>
          <w:rFonts w:ascii="Times New Roman" w:eastAsia="Times New Roman" w:hAnsi="Times New Roman" w:cs="Times New Roman"/>
          <w:bCs/>
          <w:sz w:val="24"/>
          <w:szCs w:val="24"/>
          <w:highlight w:val="white"/>
        </w:rPr>
        <w:t xml:space="preserve"> </w:t>
      </w:r>
      <w:hyperlink r:id="rId25" w:history="1">
        <w:r w:rsidRPr="0012306B">
          <w:rPr>
            <w:rStyle w:val="Hyperlink"/>
            <w:rFonts w:ascii="Times New Roman" w:eastAsia="Times New Roman" w:hAnsi="Times New Roman" w:cs="Times New Roman"/>
            <w:bCs/>
            <w:sz w:val="24"/>
            <w:szCs w:val="24"/>
            <w:highlight w:val="white"/>
          </w:rPr>
          <w:t>ACD 507-07, "Academic Professional Promotion"</w:t>
        </w:r>
      </w:hyperlink>
      <w:r w:rsidRPr="00C75E18">
        <w:rPr>
          <w:rFonts w:ascii="Times New Roman" w:eastAsia="Times New Roman" w:hAnsi="Times New Roman" w:cs="Times New Roman"/>
          <w:bCs/>
        </w:rPr>
        <w:t xml:space="preserve"> </w:t>
      </w:r>
    </w:p>
    <w:p w14:paraId="1C559751" w14:textId="77777777" w:rsidR="005328C8" w:rsidRPr="00C75E18" w:rsidRDefault="005328C8" w:rsidP="0017430C">
      <w:pPr>
        <w:spacing w:line="240" w:lineRule="auto"/>
        <w:ind w:left="1440" w:right="1440"/>
        <w:rPr>
          <w:rFonts w:ascii="Times New Roman" w:eastAsia="Times New Roman" w:hAnsi="Times New Roman" w:cs="Times New Roman"/>
          <w:bCs/>
        </w:rPr>
      </w:pPr>
    </w:p>
    <w:p w14:paraId="406EF709" w14:textId="6D10A079" w:rsidR="00752D14" w:rsidRPr="00CC44F9" w:rsidRDefault="0035498F" w:rsidP="0017430C">
      <w:pPr>
        <w:pStyle w:val="Heading2"/>
        <w:spacing w:before="0" w:after="0" w:line="240" w:lineRule="auto"/>
        <w:ind w:left="1440" w:right="1440"/>
        <w:rPr>
          <w:rFonts w:ascii="Times New Roman" w:eastAsia="Times New Roman" w:hAnsi="Times New Roman" w:cs="Times New Roman"/>
        </w:rPr>
      </w:pPr>
      <w:bookmarkStart w:id="10" w:name="_3rdcrjn" w:colFirst="0" w:colLast="0"/>
      <w:bookmarkEnd w:id="10"/>
      <w:r w:rsidRPr="00CC44F9">
        <w:rPr>
          <w:rFonts w:ascii="Times New Roman" w:eastAsia="Times New Roman" w:hAnsi="Times New Roman" w:cs="Times New Roman"/>
        </w:rPr>
        <w:t>2.2.2 Teaching</w:t>
      </w:r>
    </w:p>
    <w:p w14:paraId="3BDB7A43" w14:textId="77777777" w:rsidR="005328C8" w:rsidRPr="005328C8" w:rsidRDefault="005328C8" w:rsidP="0017430C">
      <w:pPr>
        <w:pStyle w:val="Heading3"/>
        <w:spacing w:before="0" w:after="0" w:line="240" w:lineRule="auto"/>
        <w:ind w:left="1440" w:right="1440"/>
        <w:rPr>
          <w:rFonts w:ascii="Times New Roman" w:eastAsia="Times New Roman" w:hAnsi="Times New Roman" w:cs="Times New Roman"/>
          <w:sz w:val="24"/>
          <w:szCs w:val="24"/>
        </w:rPr>
      </w:pPr>
      <w:bookmarkStart w:id="11" w:name="_26in1rg" w:colFirst="0" w:colLast="0"/>
      <w:bookmarkEnd w:id="11"/>
    </w:p>
    <w:p w14:paraId="7C07EDE1" w14:textId="1A9AB341" w:rsidR="00752D14" w:rsidRDefault="0035498F" w:rsidP="0017430C">
      <w:pPr>
        <w:pStyle w:val="Heading3"/>
        <w:spacing w:before="0" w:after="0" w:line="240" w:lineRule="auto"/>
        <w:ind w:left="1440" w:right="1440"/>
        <w:rPr>
          <w:rFonts w:ascii="Times New Roman" w:eastAsia="Times New Roman" w:hAnsi="Times New Roman" w:cs="Times New Roman"/>
        </w:rPr>
      </w:pPr>
      <w:r w:rsidRPr="00CC44F9">
        <w:rPr>
          <w:rFonts w:ascii="Times New Roman" w:eastAsia="Times New Roman" w:hAnsi="Times New Roman" w:cs="Times New Roman"/>
        </w:rPr>
        <w:t>2.2.2.1 Guiding Principles</w:t>
      </w:r>
    </w:p>
    <w:p w14:paraId="6B5C86F2" w14:textId="77777777" w:rsidR="00E928E6" w:rsidRPr="00E928E6" w:rsidRDefault="00E928E6" w:rsidP="00E928E6"/>
    <w:p w14:paraId="573DDA3B" w14:textId="4C17A589" w:rsidR="00752D14" w:rsidRPr="00925028" w:rsidRDefault="0035498F" w:rsidP="0017430C">
      <w:pPr>
        <w:widowControl w:val="0"/>
        <w:spacing w:line="240" w:lineRule="auto"/>
        <w:ind w:left="144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Excellence in teaching and student advising are important aspects of faculty</w:t>
      </w:r>
      <w:r w:rsidR="004A1A78" w:rsidRPr="008E45AB">
        <w:rPr>
          <w:rFonts w:ascii="Times New Roman" w:eastAsia="Times New Roman" w:hAnsi="Times New Roman" w:cs="Times New Roman"/>
          <w:color w:val="C00000"/>
          <w:sz w:val="24"/>
          <w:szCs w:val="24"/>
        </w:rPr>
        <w:t xml:space="preserve"> </w:t>
      </w:r>
      <w:r w:rsidRPr="00925028">
        <w:rPr>
          <w:rFonts w:ascii="Times New Roman" w:eastAsia="Times New Roman" w:hAnsi="Times New Roman" w:cs="Times New Roman"/>
          <w:sz w:val="24"/>
          <w:szCs w:val="24"/>
        </w:rPr>
        <w:t xml:space="preserve">performance, especially at MLFTC. All MLFTC students deserve to experience a diversity of effective teaching styles. So as a matter of primary professional principle, all MLFTC faculty should be reflective about their teaching and skillful at improving it. Effective and scholarly teaching is </w:t>
      </w:r>
      <w:r w:rsidR="00A06EE4">
        <w:rPr>
          <w:rFonts w:ascii="Times New Roman" w:eastAsia="Times New Roman" w:hAnsi="Times New Roman" w:cs="Times New Roman"/>
          <w:sz w:val="24"/>
          <w:szCs w:val="24"/>
        </w:rPr>
        <w:t xml:space="preserve">also </w:t>
      </w:r>
      <w:r w:rsidRPr="00925028">
        <w:rPr>
          <w:rFonts w:ascii="Times New Roman" w:eastAsia="Times New Roman" w:hAnsi="Times New Roman" w:cs="Times New Roman"/>
          <w:sz w:val="24"/>
          <w:szCs w:val="24"/>
        </w:rPr>
        <w:t xml:space="preserve">directly linked to productive scholarship since it will entail a grasp of large bodies of historical and contemporary knowledge, relating these to practical concerns and instilling all students with the scholarly attitudes appropriate to their professions. Another aspect of teaching, which does not relate solely to enrolled students, but which is an important </w:t>
      </w:r>
      <w:proofErr w:type="gramStart"/>
      <w:r w:rsidRPr="00925028">
        <w:rPr>
          <w:rFonts w:ascii="Times New Roman" w:eastAsia="Times New Roman" w:hAnsi="Times New Roman" w:cs="Times New Roman"/>
          <w:sz w:val="24"/>
          <w:szCs w:val="24"/>
        </w:rPr>
        <w:t>function</w:t>
      </w:r>
      <w:proofErr w:type="gramEnd"/>
      <w:r w:rsidRPr="00925028">
        <w:rPr>
          <w:rFonts w:ascii="Times New Roman" w:eastAsia="Times New Roman" w:hAnsi="Times New Roman" w:cs="Times New Roman"/>
          <w:sz w:val="24"/>
          <w:szCs w:val="24"/>
        </w:rPr>
        <w:t xml:space="preserve"> nonetheless, is the persuasive interpretation of one’s area of expertise to a larger professional audience and/or the public at large. In this sense, faculty are encouraged to find and</w:t>
      </w:r>
      <w:r w:rsidRPr="00CF32FF">
        <w:rPr>
          <w:rFonts w:ascii="Times New Roman" w:eastAsia="Times New Roman" w:hAnsi="Times New Roman" w:cs="Times New Roman"/>
          <w:color w:val="000000" w:themeColor="text1"/>
          <w:sz w:val="24"/>
          <w:szCs w:val="24"/>
        </w:rPr>
        <w:t xml:space="preserve"> explain synergies </w:t>
      </w:r>
      <w:r w:rsidR="00A06EE4" w:rsidRPr="00CF32FF">
        <w:rPr>
          <w:rFonts w:ascii="Times New Roman" w:eastAsia="Times New Roman" w:hAnsi="Times New Roman" w:cs="Times New Roman"/>
          <w:color w:val="000000" w:themeColor="text1"/>
          <w:sz w:val="24"/>
          <w:szCs w:val="24"/>
        </w:rPr>
        <w:t>among</w:t>
      </w:r>
      <w:r w:rsidRPr="00CF32FF">
        <w:rPr>
          <w:rFonts w:ascii="Times New Roman" w:eastAsia="Times New Roman" w:hAnsi="Times New Roman" w:cs="Times New Roman"/>
          <w:color w:val="000000" w:themeColor="text1"/>
          <w:sz w:val="24"/>
          <w:szCs w:val="24"/>
        </w:rPr>
        <w:t xml:space="preserve"> </w:t>
      </w:r>
      <w:r w:rsidR="00A06EE4" w:rsidRPr="00CF32FF">
        <w:rPr>
          <w:rFonts w:ascii="Times New Roman" w:eastAsia="Times New Roman" w:hAnsi="Times New Roman" w:cs="Times New Roman"/>
          <w:color w:val="000000" w:themeColor="text1"/>
          <w:sz w:val="24"/>
          <w:szCs w:val="24"/>
        </w:rPr>
        <w:t>the</w:t>
      </w:r>
      <w:r w:rsidR="007E65A0" w:rsidRPr="00CF32FF">
        <w:rPr>
          <w:rFonts w:ascii="Times New Roman" w:eastAsia="Times New Roman" w:hAnsi="Times New Roman" w:cs="Times New Roman"/>
          <w:color w:val="000000" w:themeColor="text1"/>
          <w:sz w:val="24"/>
          <w:szCs w:val="24"/>
        </w:rPr>
        <w:t>ir</w:t>
      </w:r>
      <w:r w:rsidR="00A06EE4" w:rsidRPr="00CF32FF">
        <w:rPr>
          <w:rFonts w:ascii="Times New Roman" w:eastAsia="Times New Roman" w:hAnsi="Times New Roman" w:cs="Times New Roman"/>
          <w:color w:val="000000" w:themeColor="text1"/>
          <w:sz w:val="24"/>
          <w:szCs w:val="24"/>
        </w:rPr>
        <w:t xml:space="preserve"> </w:t>
      </w:r>
      <w:r w:rsidRPr="00CF32FF">
        <w:rPr>
          <w:rFonts w:ascii="Times New Roman" w:eastAsia="Times New Roman" w:hAnsi="Times New Roman" w:cs="Times New Roman"/>
          <w:color w:val="000000" w:themeColor="text1"/>
          <w:sz w:val="24"/>
          <w:szCs w:val="24"/>
        </w:rPr>
        <w:t>teaching</w:t>
      </w:r>
      <w:r w:rsidR="00A06EE4" w:rsidRPr="00CF32FF">
        <w:rPr>
          <w:rFonts w:ascii="Times New Roman" w:eastAsia="Times New Roman" w:hAnsi="Times New Roman" w:cs="Times New Roman"/>
          <w:color w:val="000000" w:themeColor="text1"/>
          <w:sz w:val="24"/>
          <w:szCs w:val="24"/>
        </w:rPr>
        <w:t xml:space="preserve"> and service, and if applicable</w:t>
      </w:r>
      <w:r w:rsidRPr="00CF32FF">
        <w:rPr>
          <w:rFonts w:ascii="Times New Roman" w:eastAsia="Times New Roman" w:hAnsi="Times New Roman" w:cs="Times New Roman"/>
          <w:color w:val="000000" w:themeColor="text1"/>
          <w:sz w:val="24"/>
          <w:szCs w:val="24"/>
        </w:rPr>
        <w:t xml:space="preserve">, </w:t>
      </w:r>
      <w:r w:rsidR="004657C5" w:rsidRPr="00CF32FF">
        <w:rPr>
          <w:rFonts w:ascii="Times New Roman" w:eastAsia="Times New Roman" w:hAnsi="Times New Roman" w:cs="Times New Roman"/>
          <w:color w:val="000000" w:themeColor="text1"/>
          <w:sz w:val="24"/>
          <w:szCs w:val="24"/>
        </w:rPr>
        <w:t>scholarship</w:t>
      </w:r>
      <w:r w:rsidR="00A06EE4" w:rsidRPr="00CF32FF">
        <w:rPr>
          <w:rFonts w:ascii="Times New Roman" w:eastAsia="Times New Roman" w:hAnsi="Times New Roman" w:cs="Times New Roman"/>
          <w:color w:val="000000" w:themeColor="text1"/>
          <w:sz w:val="24"/>
          <w:szCs w:val="24"/>
        </w:rPr>
        <w:t xml:space="preserve"> endeavors</w:t>
      </w:r>
      <w:r w:rsidRPr="00CF32FF">
        <w:rPr>
          <w:rFonts w:ascii="Times New Roman" w:eastAsia="Times New Roman" w:hAnsi="Times New Roman" w:cs="Times New Roman"/>
          <w:color w:val="000000" w:themeColor="text1"/>
          <w:sz w:val="24"/>
          <w:szCs w:val="24"/>
        </w:rPr>
        <w:t>.</w:t>
      </w:r>
    </w:p>
    <w:p w14:paraId="7AE9EF42" w14:textId="77777777" w:rsidR="00752D14" w:rsidRPr="00CC44F9" w:rsidRDefault="00752D14" w:rsidP="0017430C">
      <w:pPr>
        <w:widowControl w:val="0"/>
        <w:spacing w:line="240" w:lineRule="auto"/>
        <w:ind w:left="1440" w:right="1440"/>
        <w:rPr>
          <w:rFonts w:ascii="Times New Roman" w:eastAsia="Times New Roman" w:hAnsi="Times New Roman" w:cs="Times New Roman"/>
        </w:rPr>
      </w:pPr>
    </w:p>
    <w:p w14:paraId="7B8CB168" w14:textId="4C6929A5" w:rsidR="00752D14" w:rsidRPr="00925028" w:rsidRDefault="0035498F" w:rsidP="0017430C">
      <w:pPr>
        <w:widowControl w:val="0"/>
        <w:spacing w:line="240" w:lineRule="auto"/>
        <w:ind w:left="1440" w:right="1440"/>
        <w:rPr>
          <w:rFonts w:ascii="Times New Roman" w:eastAsia="Times New Roman" w:hAnsi="Times New Roman" w:cs="Times New Roman"/>
          <w:sz w:val="24"/>
          <w:szCs w:val="24"/>
        </w:rPr>
      </w:pPr>
      <w:r w:rsidRPr="00CD4B4F">
        <w:rPr>
          <w:rFonts w:ascii="Times New Roman" w:eastAsia="Times New Roman" w:hAnsi="Times New Roman" w:cs="Times New Roman"/>
          <w:sz w:val="24"/>
          <w:szCs w:val="24"/>
        </w:rPr>
        <w:t xml:space="preserve">MLFTC values challenging education </w:t>
      </w:r>
      <w:r w:rsidRPr="00CD4B4F">
        <w:rPr>
          <w:rFonts w:ascii="Times New Roman" w:eastAsia="Times New Roman" w:hAnsi="Times New Roman" w:cs="Times New Roman"/>
          <w:color w:val="000000" w:themeColor="text1"/>
          <w:sz w:val="24"/>
          <w:szCs w:val="24"/>
        </w:rPr>
        <w:t xml:space="preserve">programs </w:t>
      </w:r>
      <w:r w:rsidR="00406290" w:rsidRPr="00CD4B4F">
        <w:rPr>
          <w:rFonts w:ascii="Times New Roman" w:eastAsia="Times New Roman" w:hAnsi="Times New Roman" w:cs="Times New Roman"/>
          <w:color w:val="000000" w:themeColor="text1"/>
          <w:sz w:val="24"/>
          <w:szCs w:val="24"/>
        </w:rPr>
        <w:t xml:space="preserve">through </w:t>
      </w:r>
      <w:r w:rsidR="00A06EE4" w:rsidRPr="00CD4B4F">
        <w:rPr>
          <w:rFonts w:ascii="Times New Roman" w:eastAsia="Times New Roman" w:hAnsi="Times New Roman" w:cs="Times New Roman"/>
          <w:color w:val="000000" w:themeColor="text1"/>
          <w:sz w:val="24"/>
          <w:szCs w:val="24"/>
        </w:rPr>
        <w:t>which faculty</w:t>
      </w:r>
      <w:r w:rsidR="007E65A0" w:rsidRPr="00CD4B4F">
        <w:rPr>
          <w:rFonts w:ascii="Times New Roman" w:eastAsia="Times New Roman" w:hAnsi="Times New Roman" w:cs="Times New Roman"/>
          <w:color w:val="000000" w:themeColor="text1"/>
          <w:sz w:val="24"/>
          <w:szCs w:val="24"/>
        </w:rPr>
        <w:t xml:space="preserve"> </w:t>
      </w:r>
      <w:r w:rsidR="00406290" w:rsidRPr="00CD4B4F">
        <w:rPr>
          <w:rFonts w:ascii="Times New Roman" w:eastAsia="Times New Roman" w:hAnsi="Times New Roman" w:cs="Times New Roman"/>
          <w:color w:val="000000" w:themeColor="text1"/>
          <w:sz w:val="24"/>
          <w:szCs w:val="24"/>
        </w:rPr>
        <w:t xml:space="preserve">prepare </w:t>
      </w:r>
      <w:r w:rsidRPr="00CD4B4F">
        <w:rPr>
          <w:rFonts w:ascii="Times New Roman" w:eastAsia="Times New Roman" w:hAnsi="Times New Roman" w:cs="Times New Roman"/>
          <w:color w:val="000000" w:themeColor="text1"/>
          <w:sz w:val="24"/>
          <w:szCs w:val="24"/>
        </w:rPr>
        <w:t xml:space="preserve">successful </w:t>
      </w:r>
      <w:r w:rsidRPr="00CD4B4F">
        <w:rPr>
          <w:rFonts w:ascii="Times New Roman" w:eastAsia="Times New Roman" w:hAnsi="Times New Roman" w:cs="Times New Roman"/>
          <w:sz w:val="24"/>
          <w:szCs w:val="24"/>
        </w:rPr>
        <w:t xml:space="preserve">and highly qualified </w:t>
      </w:r>
      <w:r w:rsidR="00406290" w:rsidRPr="00CF32FF">
        <w:rPr>
          <w:rFonts w:ascii="Times New Roman" w:eastAsia="Times New Roman" w:hAnsi="Times New Roman" w:cs="Times New Roman"/>
          <w:color w:val="000000" w:themeColor="text1"/>
          <w:sz w:val="24"/>
          <w:szCs w:val="24"/>
        </w:rPr>
        <w:t>education</w:t>
      </w:r>
      <w:r w:rsidR="007E65A0" w:rsidRPr="00CF32FF">
        <w:rPr>
          <w:rFonts w:ascii="Times New Roman" w:eastAsia="Times New Roman" w:hAnsi="Times New Roman" w:cs="Times New Roman"/>
          <w:color w:val="000000" w:themeColor="text1"/>
          <w:sz w:val="24"/>
          <w:szCs w:val="24"/>
        </w:rPr>
        <w:t xml:space="preserve"> </w:t>
      </w:r>
      <w:r w:rsidRPr="00CF32FF">
        <w:rPr>
          <w:rFonts w:ascii="Times New Roman" w:eastAsia="Times New Roman" w:hAnsi="Times New Roman" w:cs="Times New Roman"/>
          <w:color w:val="000000" w:themeColor="text1"/>
          <w:sz w:val="24"/>
          <w:szCs w:val="24"/>
        </w:rPr>
        <w:t xml:space="preserve">professionals </w:t>
      </w:r>
      <w:r w:rsidRPr="00CD4B4F">
        <w:rPr>
          <w:rFonts w:ascii="Times New Roman" w:eastAsia="Times New Roman" w:hAnsi="Times New Roman" w:cs="Times New Roman"/>
          <w:sz w:val="24"/>
          <w:szCs w:val="24"/>
        </w:rPr>
        <w:t xml:space="preserve">interested in </w:t>
      </w:r>
      <w:r w:rsidR="004A1A78" w:rsidRPr="00CD4B4F">
        <w:rPr>
          <w:rFonts w:ascii="Times New Roman" w:eastAsia="Times New Roman" w:hAnsi="Times New Roman" w:cs="Times New Roman"/>
          <w:sz w:val="24"/>
          <w:szCs w:val="24"/>
        </w:rPr>
        <w:t xml:space="preserve">the </w:t>
      </w:r>
      <w:r w:rsidRPr="00CD4B4F">
        <w:rPr>
          <w:rFonts w:ascii="Times New Roman" w:eastAsia="Times New Roman" w:hAnsi="Times New Roman" w:cs="Times New Roman"/>
          <w:sz w:val="24"/>
          <w:szCs w:val="24"/>
        </w:rPr>
        <w:t xml:space="preserve">advanced study </w:t>
      </w:r>
      <w:r w:rsidR="004A1A78" w:rsidRPr="00CD4B4F">
        <w:rPr>
          <w:rFonts w:ascii="Times New Roman" w:eastAsia="Times New Roman" w:hAnsi="Times New Roman" w:cs="Times New Roman"/>
          <w:sz w:val="24"/>
          <w:szCs w:val="24"/>
        </w:rPr>
        <w:t xml:space="preserve">of </w:t>
      </w:r>
      <w:r w:rsidRPr="00CD4B4F">
        <w:rPr>
          <w:rFonts w:ascii="Times New Roman" w:eastAsia="Times New Roman" w:hAnsi="Times New Roman" w:cs="Times New Roman"/>
          <w:sz w:val="24"/>
          <w:szCs w:val="24"/>
        </w:rPr>
        <w:t xml:space="preserve">and </w:t>
      </w:r>
      <w:r w:rsidRPr="00CD4B4F">
        <w:rPr>
          <w:rFonts w:ascii="Times New Roman" w:eastAsia="Times New Roman" w:hAnsi="Times New Roman" w:cs="Times New Roman"/>
          <w:color w:val="000000" w:themeColor="text1"/>
          <w:sz w:val="24"/>
          <w:szCs w:val="24"/>
        </w:rPr>
        <w:t>research</w:t>
      </w:r>
      <w:r w:rsidR="007E65A0" w:rsidRPr="00CD4B4F">
        <w:rPr>
          <w:rFonts w:ascii="Times New Roman" w:eastAsia="Times New Roman" w:hAnsi="Times New Roman" w:cs="Times New Roman"/>
          <w:color w:val="000000" w:themeColor="text1"/>
          <w:sz w:val="24"/>
          <w:szCs w:val="24"/>
        </w:rPr>
        <w:t xml:space="preserve"> in education</w:t>
      </w:r>
      <w:r w:rsidRPr="00CD4B4F">
        <w:rPr>
          <w:rFonts w:ascii="Times New Roman" w:eastAsia="Times New Roman" w:hAnsi="Times New Roman" w:cs="Times New Roman"/>
          <w:color w:val="000000" w:themeColor="text1"/>
          <w:sz w:val="24"/>
          <w:szCs w:val="24"/>
        </w:rPr>
        <w:t xml:space="preserve">. </w:t>
      </w:r>
      <w:r w:rsidRPr="00CD4B4F">
        <w:rPr>
          <w:rFonts w:ascii="Times New Roman" w:eastAsia="Times New Roman" w:hAnsi="Times New Roman" w:cs="Times New Roman"/>
          <w:sz w:val="24"/>
          <w:szCs w:val="24"/>
        </w:rPr>
        <w:t>To</w:t>
      </w:r>
      <w:r w:rsidRPr="00925028">
        <w:rPr>
          <w:rFonts w:ascii="Times New Roman" w:eastAsia="Times New Roman" w:hAnsi="Times New Roman" w:cs="Times New Roman"/>
          <w:sz w:val="24"/>
          <w:szCs w:val="24"/>
        </w:rPr>
        <w:t xml:space="preserve"> accomplish these goals</w:t>
      </w:r>
      <w:r w:rsidR="00A06EE4">
        <w:rPr>
          <w:rFonts w:ascii="Times New Roman" w:eastAsia="Times New Roman" w:hAnsi="Times New Roman" w:cs="Times New Roman"/>
          <w:sz w:val="24"/>
          <w:szCs w:val="24"/>
        </w:rPr>
        <w:t>,</w:t>
      </w:r>
      <w:r w:rsidRPr="00925028">
        <w:rPr>
          <w:rFonts w:ascii="Times New Roman" w:eastAsia="Times New Roman" w:hAnsi="Times New Roman" w:cs="Times New Roman"/>
          <w:sz w:val="24"/>
          <w:szCs w:val="24"/>
        </w:rPr>
        <w:t xml:space="preserve"> faculty are expected to be committed to engaging in excellent teaching that is collaborative, innovative, and relevant to the educational challenges of the 21st century. Faculty should seek to align their teaching with the </w:t>
      </w:r>
      <w:hyperlink r:id="rId26" w:anchor=":~:text=ASU%20is%20a%20comprehensive%20public,of%20the%20communities%20it%20serves" w:history="1">
        <w:r w:rsidR="00A06EE4" w:rsidRPr="00446C08">
          <w:rPr>
            <w:rStyle w:val="Hyperlink"/>
            <w:rFonts w:ascii="Times New Roman" w:eastAsia="Times New Roman" w:hAnsi="Times New Roman" w:cs="Times New Roman"/>
            <w:sz w:val="24"/>
            <w:szCs w:val="24"/>
          </w:rPr>
          <w:t>ASU Charter</w:t>
        </w:r>
      </w:hyperlink>
      <w:r w:rsidR="00A06EE4" w:rsidRPr="001C086F">
        <w:rPr>
          <w:rFonts w:ascii="Times New Roman" w:eastAsia="Times New Roman" w:hAnsi="Times New Roman" w:cs="Times New Roman"/>
          <w:sz w:val="24"/>
          <w:szCs w:val="24"/>
        </w:rPr>
        <w:t xml:space="preserve"> and</w:t>
      </w:r>
      <w:r w:rsidR="00A06EE4">
        <w:rPr>
          <w:rFonts w:ascii="Times New Roman" w:eastAsia="Times New Roman" w:hAnsi="Times New Roman" w:cs="Times New Roman"/>
          <w:sz w:val="24"/>
          <w:szCs w:val="24"/>
        </w:rPr>
        <w:t xml:space="preserve"> </w:t>
      </w:r>
      <w:hyperlink r:id="rId27" w:history="1">
        <w:r w:rsidR="00A06EE4" w:rsidRPr="00446C08">
          <w:rPr>
            <w:rStyle w:val="Hyperlink"/>
            <w:rFonts w:ascii="Times New Roman" w:eastAsia="Times New Roman" w:hAnsi="Times New Roman" w:cs="Times New Roman"/>
            <w:sz w:val="24"/>
            <w:szCs w:val="24"/>
          </w:rPr>
          <w:t>ASU</w:t>
        </w:r>
        <w:r w:rsidR="00A06EE4">
          <w:rPr>
            <w:rStyle w:val="Hyperlink"/>
            <w:rFonts w:ascii="Times New Roman" w:eastAsia="Times New Roman" w:hAnsi="Times New Roman" w:cs="Times New Roman"/>
            <w:sz w:val="24"/>
            <w:szCs w:val="24"/>
          </w:rPr>
          <w:t>’s</w:t>
        </w:r>
        <w:r w:rsidR="00A06EE4" w:rsidRPr="00446C08">
          <w:rPr>
            <w:rStyle w:val="Hyperlink"/>
            <w:rFonts w:ascii="Times New Roman" w:eastAsia="Times New Roman" w:hAnsi="Times New Roman" w:cs="Times New Roman"/>
            <w:sz w:val="24"/>
            <w:szCs w:val="24"/>
          </w:rPr>
          <w:t xml:space="preserve"> Design Aspirations</w:t>
        </w:r>
      </w:hyperlink>
      <w:r w:rsidRPr="00925028">
        <w:rPr>
          <w:rFonts w:ascii="Times New Roman" w:eastAsia="Times New Roman" w:hAnsi="Times New Roman" w:cs="Times New Roman"/>
          <w:sz w:val="24"/>
          <w:szCs w:val="24"/>
        </w:rPr>
        <w:t xml:space="preserve"> as a way to contribute to learning about key issues in education</w:t>
      </w:r>
      <w:r w:rsidR="00D9398B">
        <w:rPr>
          <w:rFonts w:ascii="Times New Roman" w:eastAsia="Times New Roman" w:hAnsi="Times New Roman" w:cs="Times New Roman"/>
          <w:sz w:val="24"/>
          <w:szCs w:val="24"/>
        </w:rPr>
        <w:t xml:space="preserve"> and inclusive excellence.</w:t>
      </w:r>
    </w:p>
    <w:p w14:paraId="5F7EDB7D" w14:textId="77777777" w:rsidR="00752D14" w:rsidRPr="00925028" w:rsidRDefault="0035498F" w:rsidP="0017430C">
      <w:pPr>
        <w:widowControl w:val="0"/>
        <w:spacing w:line="240" w:lineRule="auto"/>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 </w:t>
      </w:r>
    </w:p>
    <w:p w14:paraId="20B73C3A" w14:textId="77777777" w:rsidR="00752D14" w:rsidRPr="00925028" w:rsidRDefault="0035498F" w:rsidP="0017430C">
      <w:pPr>
        <w:widowControl w:val="0"/>
        <w:spacing w:line="240" w:lineRule="auto"/>
        <w:ind w:left="144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Indicators of teaching effectiveness include:</w:t>
      </w:r>
    </w:p>
    <w:p w14:paraId="308E538A" w14:textId="77777777" w:rsidR="00752D14" w:rsidRPr="00925028" w:rsidRDefault="0035498F">
      <w:pPr>
        <w:widowControl w:val="0"/>
        <w:numPr>
          <w:ilvl w:val="0"/>
          <w:numId w:val="5"/>
        </w:numPr>
        <w:spacing w:line="240" w:lineRule="auto"/>
        <w:ind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Courses </w:t>
      </w:r>
      <w:proofErr w:type="gramStart"/>
      <w:r w:rsidRPr="00925028">
        <w:rPr>
          <w:rFonts w:ascii="Times New Roman" w:eastAsia="Times New Roman" w:hAnsi="Times New Roman" w:cs="Times New Roman"/>
          <w:sz w:val="24"/>
          <w:szCs w:val="24"/>
        </w:rPr>
        <w:t>taught,</w:t>
      </w:r>
      <w:proofErr w:type="gramEnd"/>
      <w:r w:rsidRPr="00925028">
        <w:rPr>
          <w:rFonts w:ascii="Times New Roman" w:eastAsia="Times New Roman" w:hAnsi="Times New Roman" w:cs="Times New Roman"/>
          <w:sz w:val="24"/>
          <w:szCs w:val="24"/>
        </w:rPr>
        <w:t xml:space="preserve"> semesters taught</w:t>
      </w:r>
    </w:p>
    <w:p w14:paraId="5F27A022" w14:textId="2125BB11" w:rsidR="00752D14" w:rsidRPr="00430FD1" w:rsidRDefault="0035498F">
      <w:pPr>
        <w:widowControl w:val="0"/>
        <w:numPr>
          <w:ilvl w:val="0"/>
          <w:numId w:val="5"/>
        </w:numPr>
        <w:spacing w:line="240" w:lineRule="auto"/>
        <w:ind w:right="1440"/>
        <w:rPr>
          <w:rFonts w:ascii="Times New Roman" w:eastAsia="Times New Roman" w:hAnsi="Times New Roman" w:cs="Times New Roman"/>
          <w:color w:val="76923C" w:themeColor="accent3" w:themeShade="BF"/>
          <w:sz w:val="24"/>
          <w:szCs w:val="24"/>
        </w:rPr>
      </w:pPr>
      <w:r w:rsidRPr="00925028">
        <w:rPr>
          <w:rFonts w:ascii="Times New Roman" w:eastAsia="Times New Roman" w:hAnsi="Times New Roman" w:cs="Times New Roman"/>
          <w:sz w:val="24"/>
          <w:szCs w:val="24"/>
        </w:rPr>
        <w:t xml:space="preserve">Student evaluation </w:t>
      </w:r>
      <w:r w:rsidRPr="00CF32FF">
        <w:rPr>
          <w:rFonts w:ascii="Times New Roman" w:eastAsia="Times New Roman" w:hAnsi="Times New Roman" w:cs="Times New Roman"/>
          <w:color w:val="000000" w:themeColor="text1"/>
          <w:sz w:val="24"/>
          <w:szCs w:val="24"/>
        </w:rPr>
        <w:t>data (</w:t>
      </w:r>
      <w:r w:rsidR="005D1C77" w:rsidRPr="00CF32FF">
        <w:rPr>
          <w:rFonts w:ascii="Times New Roman" w:eastAsia="Times New Roman" w:hAnsi="Times New Roman" w:cs="Times New Roman"/>
          <w:color w:val="000000" w:themeColor="text1"/>
          <w:sz w:val="24"/>
          <w:szCs w:val="24"/>
        </w:rPr>
        <w:t xml:space="preserve">e.g., </w:t>
      </w:r>
      <w:r w:rsidRPr="00CF32FF">
        <w:rPr>
          <w:rFonts w:ascii="Times New Roman" w:eastAsia="Times New Roman" w:hAnsi="Times New Roman" w:cs="Times New Roman"/>
          <w:color w:val="000000" w:themeColor="text1"/>
          <w:sz w:val="24"/>
          <w:szCs w:val="24"/>
        </w:rPr>
        <w:t>mean</w:t>
      </w:r>
      <w:r w:rsidR="007241D6" w:rsidRPr="00CF32FF">
        <w:rPr>
          <w:rFonts w:ascii="Times New Roman" w:eastAsia="Times New Roman" w:hAnsi="Times New Roman" w:cs="Times New Roman"/>
          <w:color w:val="000000" w:themeColor="text1"/>
          <w:sz w:val="24"/>
          <w:szCs w:val="24"/>
        </w:rPr>
        <w:t>s</w:t>
      </w:r>
      <w:r w:rsidR="005D1C77" w:rsidRPr="00CF32FF">
        <w:rPr>
          <w:rFonts w:ascii="Times New Roman" w:eastAsia="Times New Roman" w:hAnsi="Times New Roman" w:cs="Times New Roman"/>
          <w:color w:val="000000" w:themeColor="text1"/>
          <w:sz w:val="24"/>
          <w:szCs w:val="24"/>
        </w:rPr>
        <w:t xml:space="preserve"> </w:t>
      </w:r>
      <w:r w:rsidR="007241D6" w:rsidRPr="00CF32FF">
        <w:rPr>
          <w:rFonts w:ascii="Times New Roman" w:eastAsia="Times New Roman" w:hAnsi="Times New Roman" w:cs="Times New Roman"/>
          <w:color w:val="000000" w:themeColor="text1"/>
          <w:sz w:val="24"/>
          <w:szCs w:val="24"/>
        </w:rPr>
        <w:t xml:space="preserve">for all classes with </w:t>
      </w:r>
      <w:r w:rsidR="00430FD1" w:rsidRPr="00CF32FF">
        <w:rPr>
          <w:rFonts w:ascii="Times New Roman" w:eastAsia="Times New Roman" w:hAnsi="Times New Roman" w:cs="Times New Roman"/>
          <w:color w:val="000000" w:themeColor="text1"/>
          <w:sz w:val="24"/>
          <w:szCs w:val="24"/>
        </w:rPr>
        <w:t>three</w:t>
      </w:r>
      <w:r w:rsidR="007241D6" w:rsidRPr="00CF32FF">
        <w:rPr>
          <w:rFonts w:ascii="Times New Roman" w:eastAsia="Times New Roman" w:hAnsi="Times New Roman" w:cs="Times New Roman"/>
          <w:color w:val="000000" w:themeColor="text1"/>
          <w:sz w:val="24"/>
          <w:szCs w:val="24"/>
        </w:rPr>
        <w:t xml:space="preserve"> </w:t>
      </w:r>
      <w:r w:rsidR="00430FD1" w:rsidRPr="00CF32FF">
        <w:rPr>
          <w:rFonts w:ascii="Times New Roman" w:eastAsia="Times New Roman" w:hAnsi="Times New Roman" w:cs="Times New Roman"/>
          <w:color w:val="000000" w:themeColor="text1"/>
          <w:sz w:val="24"/>
          <w:szCs w:val="24"/>
        </w:rPr>
        <w:t xml:space="preserve">or more </w:t>
      </w:r>
      <w:r w:rsidR="007241D6" w:rsidRPr="00CF32FF">
        <w:rPr>
          <w:rFonts w:ascii="Times New Roman" w:eastAsia="Times New Roman" w:hAnsi="Times New Roman" w:cs="Times New Roman"/>
          <w:color w:val="000000" w:themeColor="text1"/>
          <w:sz w:val="24"/>
          <w:szCs w:val="24"/>
        </w:rPr>
        <w:t>students</w:t>
      </w:r>
      <w:r w:rsidR="005D1C77" w:rsidRPr="00CF32FF">
        <w:rPr>
          <w:rFonts w:ascii="Times New Roman" w:eastAsia="Times New Roman" w:hAnsi="Times New Roman" w:cs="Times New Roman"/>
          <w:color w:val="000000" w:themeColor="text1"/>
          <w:sz w:val="24"/>
          <w:szCs w:val="24"/>
        </w:rPr>
        <w:t xml:space="preserve"> enrolled and responding</w:t>
      </w:r>
      <w:r w:rsidR="007241D6" w:rsidRPr="00CF32FF">
        <w:rPr>
          <w:rFonts w:ascii="Times New Roman" w:eastAsia="Times New Roman" w:hAnsi="Times New Roman" w:cs="Times New Roman"/>
          <w:color w:val="000000" w:themeColor="text1"/>
          <w:sz w:val="24"/>
          <w:szCs w:val="24"/>
        </w:rPr>
        <w:t xml:space="preserve"> [i.e., </w:t>
      </w:r>
      <w:r w:rsidR="007241D6" w:rsidRPr="00CF32FF">
        <w:rPr>
          <w:rFonts w:ascii="Times New Roman" w:eastAsia="Times New Roman" w:hAnsi="Times New Roman" w:cs="Times New Roman"/>
          <w:i/>
          <w:iCs/>
          <w:color w:val="000000" w:themeColor="text1"/>
          <w:sz w:val="24"/>
          <w:szCs w:val="24"/>
        </w:rPr>
        <w:t>n</w:t>
      </w:r>
      <w:r w:rsidR="007241D6" w:rsidRPr="00CF32FF">
        <w:rPr>
          <w:rFonts w:ascii="Times New Roman" w:eastAsia="Times New Roman" w:hAnsi="Times New Roman" w:cs="Times New Roman"/>
          <w:color w:val="000000" w:themeColor="text1"/>
          <w:sz w:val="24"/>
          <w:szCs w:val="24"/>
        </w:rPr>
        <w:t xml:space="preserve"> </w:t>
      </w:r>
      <w:r w:rsidR="00430FD1" w:rsidRPr="00CF32FF">
        <w:rPr>
          <w:rFonts w:ascii="Times New Roman" w:eastAsia="Times New Roman" w:hAnsi="Times New Roman" w:cs="Times New Roman"/>
          <w:b/>
          <w:bCs/>
          <w:color w:val="000000" w:themeColor="text1"/>
          <w:sz w:val="24"/>
          <w:szCs w:val="24"/>
          <w:lang w:val="en"/>
        </w:rPr>
        <w:t>≥</w:t>
      </w:r>
      <w:r w:rsidR="00430FD1" w:rsidRPr="00CF32FF">
        <w:rPr>
          <w:rFonts w:ascii="Times New Roman" w:eastAsia="Times New Roman" w:hAnsi="Times New Roman" w:cs="Times New Roman"/>
          <w:b/>
          <w:bCs/>
          <w:color w:val="000000" w:themeColor="text1"/>
          <w:sz w:val="24"/>
          <w:szCs w:val="24"/>
        </w:rPr>
        <w:t xml:space="preserve"> </w:t>
      </w:r>
      <w:r w:rsidR="00430FD1" w:rsidRPr="00CF32FF">
        <w:rPr>
          <w:rFonts w:ascii="Times New Roman" w:eastAsia="Times New Roman" w:hAnsi="Times New Roman" w:cs="Times New Roman"/>
          <w:color w:val="000000" w:themeColor="text1"/>
          <w:sz w:val="24"/>
          <w:szCs w:val="24"/>
          <w:lang w:val="en"/>
        </w:rPr>
        <w:t>3</w:t>
      </w:r>
      <w:r w:rsidR="007241D6" w:rsidRPr="00CF32FF">
        <w:rPr>
          <w:rFonts w:ascii="Times New Roman" w:eastAsia="Times New Roman" w:hAnsi="Times New Roman" w:cs="Times New Roman"/>
          <w:color w:val="000000" w:themeColor="text1"/>
          <w:sz w:val="24"/>
          <w:szCs w:val="24"/>
          <w:lang w:val="en"/>
        </w:rPr>
        <w:t>]</w:t>
      </w:r>
      <w:r w:rsidRPr="00CF32FF">
        <w:rPr>
          <w:rFonts w:ascii="Times New Roman" w:eastAsia="Times New Roman" w:hAnsi="Times New Roman" w:cs="Times New Roman"/>
          <w:color w:val="000000" w:themeColor="text1"/>
          <w:sz w:val="24"/>
          <w:szCs w:val="24"/>
        </w:rPr>
        <w:t>)</w:t>
      </w:r>
    </w:p>
    <w:p w14:paraId="0E3731BD" w14:textId="77777777" w:rsidR="00752D14" w:rsidRPr="00925028" w:rsidRDefault="0035498F">
      <w:pPr>
        <w:widowControl w:val="0"/>
        <w:numPr>
          <w:ilvl w:val="0"/>
          <w:numId w:val="5"/>
        </w:numPr>
        <w:spacing w:line="240" w:lineRule="auto"/>
        <w:ind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Peer evaluations</w:t>
      </w:r>
    </w:p>
    <w:p w14:paraId="767BDD06" w14:textId="77777777" w:rsidR="00752D14" w:rsidRPr="00925028" w:rsidRDefault="0035498F">
      <w:pPr>
        <w:widowControl w:val="0"/>
        <w:numPr>
          <w:ilvl w:val="0"/>
          <w:numId w:val="5"/>
        </w:numPr>
        <w:spacing w:line="240" w:lineRule="auto"/>
        <w:ind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Curriculum/Course leadership and development</w:t>
      </w:r>
    </w:p>
    <w:p w14:paraId="08DB2652" w14:textId="77777777" w:rsidR="00752D14" w:rsidRPr="00925028" w:rsidRDefault="0035498F">
      <w:pPr>
        <w:widowControl w:val="0"/>
        <w:numPr>
          <w:ilvl w:val="0"/>
          <w:numId w:val="5"/>
        </w:numPr>
        <w:spacing w:line="240" w:lineRule="auto"/>
        <w:ind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Mentoring activities (undergraduate, graduate)</w:t>
      </w:r>
    </w:p>
    <w:p w14:paraId="3AC82914" w14:textId="77777777" w:rsidR="00A06EE4" w:rsidRDefault="00A06EE4" w:rsidP="0017430C">
      <w:pPr>
        <w:widowControl w:val="0"/>
        <w:spacing w:line="240" w:lineRule="auto"/>
        <w:ind w:left="1440" w:right="1440"/>
        <w:rPr>
          <w:rFonts w:ascii="Times New Roman" w:eastAsia="Times New Roman" w:hAnsi="Times New Roman" w:cs="Times New Roman"/>
          <w:sz w:val="24"/>
          <w:szCs w:val="24"/>
        </w:rPr>
      </w:pPr>
    </w:p>
    <w:p w14:paraId="5A59C412" w14:textId="59403E58" w:rsidR="00752D14" w:rsidRPr="00925028" w:rsidRDefault="0035498F" w:rsidP="0017430C">
      <w:pPr>
        <w:widowControl w:val="0"/>
        <w:spacing w:line="240" w:lineRule="auto"/>
        <w:ind w:left="144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However, these data alone are not sufficient to establish excellence in teaching. Faculty members</w:t>
      </w:r>
      <w:r w:rsidR="004A1A78" w:rsidRPr="004A1A78">
        <w:rPr>
          <w:rFonts w:ascii="Times New Roman" w:eastAsia="Times New Roman" w:hAnsi="Times New Roman" w:cs="Times New Roman"/>
          <w:color w:val="76923C" w:themeColor="accent3" w:themeShade="BF"/>
          <w:sz w:val="24"/>
          <w:szCs w:val="24"/>
        </w:rPr>
        <w:t xml:space="preserve"> </w:t>
      </w:r>
      <w:r w:rsidRPr="00925028">
        <w:rPr>
          <w:rFonts w:ascii="Times New Roman" w:eastAsia="Times New Roman" w:hAnsi="Times New Roman" w:cs="Times New Roman"/>
          <w:sz w:val="24"/>
          <w:szCs w:val="24"/>
        </w:rPr>
        <w:t>must provide other indicators that illuminate the activities associated with teaching excellence</w:t>
      </w:r>
      <w:r w:rsidR="00A06EE4">
        <w:rPr>
          <w:rFonts w:ascii="Times New Roman" w:eastAsia="Times New Roman" w:hAnsi="Times New Roman" w:cs="Times New Roman"/>
          <w:sz w:val="24"/>
          <w:szCs w:val="24"/>
        </w:rPr>
        <w:t>. These other indicators</w:t>
      </w:r>
      <w:r w:rsidRPr="00925028">
        <w:rPr>
          <w:rFonts w:ascii="Times New Roman" w:eastAsia="Times New Roman" w:hAnsi="Times New Roman" w:cs="Times New Roman"/>
          <w:sz w:val="24"/>
          <w:szCs w:val="24"/>
        </w:rPr>
        <w:t xml:space="preserve"> includ</w:t>
      </w:r>
      <w:r w:rsidR="00A06EE4">
        <w:rPr>
          <w:rFonts w:ascii="Times New Roman" w:eastAsia="Times New Roman" w:hAnsi="Times New Roman" w:cs="Times New Roman"/>
          <w:sz w:val="24"/>
          <w:szCs w:val="24"/>
        </w:rPr>
        <w:t>e</w:t>
      </w:r>
      <w:r w:rsidRPr="00925028">
        <w:rPr>
          <w:rFonts w:ascii="Times New Roman" w:eastAsia="Times New Roman" w:hAnsi="Times New Roman" w:cs="Times New Roman"/>
          <w:sz w:val="24"/>
          <w:szCs w:val="24"/>
        </w:rPr>
        <w:t xml:space="preserve"> but </w:t>
      </w:r>
      <w:r w:rsidR="00A06EE4">
        <w:rPr>
          <w:rFonts w:ascii="Times New Roman" w:eastAsia="Times New Roman" w:hAnsi="Times New Roman" w:cs="Times New Roman"/>
          <w:sz w:val="24"/>
          <w:szCs w:val="24"/>
        </w:rPr>
        <w:t xml:space="preserve">are </w:t>
      </w:r>
      <w:r w:rsidR="003540E7" w:rsidRPr="00925028">
        <w:rPr>
          <w:rFonts w:ascii="Times New Roman" w:eastAsia="Times New Roman" w:hAnsi="Times New Roman" w:cs="Times New Roman"/>
          <w:sz w:val="24"/>
          <w:szCs w:val="24"/>
        </w:rPr>
        <w:t>not limited</w:t>
      </w:r>
      <w:r w:rsidRPr="00925028">
        <w:rPr>
          <w:rFonts w:ascii="Times New Roman" w:eastAsia="Times New Roman" w:hAnsi="Times New Roman" w:cs="Times New Roman"/>
          <w:sz w:val="24"/>
          <w:szCs w:val="24"/>
        </w:rPr>
        <w:t xml:space="preserve"> to:</w:t>
      </w:r>
    </w:p>
    <w:p w14:paraId="40C3CDCA" w14:textId="0A150A9B"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lastRenderedPageBreak/>
        <w:t>Classroom teaching including teaching honors</w:t>
      </w:r>
      <w:r w:rsidR="00925028">
        <w:rPr>
          <w:rFonts w:ascii="Times New Roman" w:eastAsia="Times New Roman" w:hAnsi="Times New Roman" w:cs="Times New Roman"/>
          <w:sz w:val="24"/>
          <w:szCs w:val="24"/>
        </w:rPr>
        <w:t xml:space="preserve"> and </w:t>
      </w:r>
      <w:r w:rsidRPr="00925028">
        <w:rPr>
          <w:rFonts w:ascii="Times New Roman" w:eastAsia="Times New Roman" w:hAnsi="Times New Roman" w:cs="Times New Roman"/>
          <w:sz w:val="24"/>
          <w:szCs w:val="24"/>
        </w:rPr>
        <w:t>awards</w:t>
      </w:r>
    </w:p>
    <w:p w14:paraId="32BAA3C3"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Objective peer evaluations of teaching</w:t>
      </w:r>
    </w:p>
    <w:p w14:paraId="3D294077"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Scholarship with a focus on pedagogy</w:t>
      </w:r>
    </w:p>
    <w:p w14:paraId="729AD9C9"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Mentoring and advising students including mentoring honors/awards</w:t>
      </w:r>
    </w:p>
    <w:p w14:paraId="39A1FBF1"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Directing student research, independent studies, theses, and dissertations</w:t>
      </w:r>
    </w:p>
    <w:p w14:paraId="164B1336" w14:textId="70D3C87B"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Evidence of student career success related to the faculty</w:t>
      </w:r>
      <w:r w:rsidR="00925028">
        <w:rPr>
          <w:rFonts w:ascii="Times New Roman" w:eastAsia="Times New Roman" w:hAnsi="Times New Roman" w:cs="Times New Roman"/>
          <w:sz w:val="24"/>
          <w:szCs w:val="24"/>
        </w:rPr>
        <w:t xml:space="preserve"> member</w:t>
      </w:r>
      <w:r w:rsidRPr="00925028">
        <w:rPr>
          <w:rFonts w:ascii="Times New Roman" w:eastAsia="Times New Roman" w:hAnsi="Times New Roman" w:cs="Times New Roman"/>
          <w:sz w:val="24"/>
          <w:szCs w:val="24"/>
        </w:rPr>
        <w:t>’s mentoring</w:t>
      </w:r>
    </w:p>
    <w:p w14:paraId="592CBD1B"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Participating in curriculum, course, and program development </w:t>
      </w:r>
    </w:p>
    <w:p w14:paraId="245FA162"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Instructional design and technology integration </w:t>
      </w:r>
    </w:p>
    <w:p w14:paraId="03BEE7A6" w14:textId="0737796D"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Participating in or facilitating workshops on learning outcome assessment or similar</w:t>
      </w:r>
      <w:r w:rsidR="00925028">
        <w:rPr>
          <w:rFonts w:ascii="Times New Roman" w:eastAsia="Times New Roman" w:hAnsi="Times New Roman" w:cs="Times New Roman"/>
          <w:sz w:val="24"/>
          <w:szCs w:val="24"/>
        </w:rPr>
        <w:t xml:space="preserve"> topics</w:t>
      </w:r>
    </w:p>
    <w:p w14:paraId="4DC983E0"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Participating in extended education and online learning </w:t>
      </w:r>
    </w:p>
    <w:p w14:paraId="46D50789"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Instructional or pedagogical innovations appropriate to the division/college</w:t>
      </w:r>
    </w:p>
    <w:p w14:paraId="758EE078"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Assignments related to teaching (e.g., program coordination, course coordination)</w:t>
      </w:r>
    </w:p>
    <w:p w14:paraId="0546434C"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Professional experience or clinical supervision </w:t>
      </w:r>
    </w:p>
    <w:p w14:paraId="73907D11" w14:textId="77777777" w:rsidR="00752D14" w:rsidRPr="00925028" w:rsidRDefault="0035498F">
      <w:pPr>
        <w:widowControl w:val="0"/>
        <w:numPr>
          <w:ilvl w:val="0"/>
          <w:numId w:val="7"/>
        </w:numPr>
        <w:spacing w:line="240" w:lineRule="auto"/>
        <w:ind w:left="216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Other teaching activities in the interest of the college/university as legitimate partial equivalents of class instruction given the demands upon a faculty member’s time </w:t>
      </w:r>
    </w:p>
    <w:p w14:paraId="091AF9CD" w14:textId="77777777" w:rsidR="00752D14" w:rsidRDefault="00752D14" w:rsidP="0017430C">
      <w:pPr>
        <w:widowControl w:val="0"/>
        <w:spacing w:line="240" w:lineRule="auto"/>
        <w:ind w:left="1440" w:right="1440"/>
        <w:rPr>
          <w:rFonts w:ascii="Times New Roman" w:eastAsia="Times New Roman" w:hAnsi="Times New Roman" w:cs="Times New Roman"/>
        </w:rPr>
      </w:pPr>
    </w:p>
    <w:p w14:paraId="6AEDF46D" w14:textId="77777777" w:rsidR="00752D14" w:rsidRPr="00925028" w:rsidRDefault="0035498F" w:rsidP="0017430C">
      <w:pPr>
        <w:widowControl w:val="0"/>
        <w:spacing w:line="240" w:lineRule="auto"/>
        <w:ind w:left="1440" w:right="1440"/>
        <w:rPr>
          <w:rFonts w:ascii="Times New Roman" w:eastAsia="Times New Roman" w:hAnsi="Times New Roman" w:cs="Times New Roman"/>
          <w:sz w:val="24"/>
          <w:szCs w:val="24"/>
        </w:rPr>
      </w:pPr>
      <w:r w:rsidRPr="00925028">
        <w:rPr>
          <w:rFonts w:ascii="Times New Roman" w:eastAsia="Times New Roman" w:hAnsi="Times New Roman" w:cs="Times New Roman"/>
          <w:sz w:val="24"/>
          <w:szCs w:val="24"/>
        </w:rPr>
        <w:t xml:space="preserve">Evidence of quality in teaching should not include student comments on evaluations. </w:t>
      </w:r>
    </w:p>
    <w:p w14:paraId="45C6FA53"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7D7E1E63" w14:textId="4FA9F5BD"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also </w:t>
      </w:r>
      <w:hyperlink r:id="rId28" w:history="1">
        <w:r w:rsidRPr="0012306B">
          <w:rPr>
            <w:rStyle w:val="Hyperlink"/>
            <w:rFonts w:ascii="Times New Roman" w:eastAsia="Times New Roman" w:hAnsi="Times New Roman" w:cs="Times New Roman"/>
            <w:sz w:val="24"/>
            <w:szCs w:val="24"/>
          </w:rPr>
          <w:t>ACD 202-01: Faculty Responsibilities</w:t>
        </w:r>
      </w:hyperlink>
    </w:p>
    <w:p w14:paraId="6A60ACCE"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19D249F5" w14:textId="7F948E77" w:rsidR="00752D14" w:rsidRDefault="0035498F" w:rsidP="0017430C">
      <w:pPr>
        <w:pStyle w:val="Heading4"/>
        <w:spacing w:before="0" w:after="0" w:line="240" w:lineRule="auto"/>
        <w:ind w:left="1440" w:right="1440"/>
        <w:rPr>
          <w:rFonts w:ascii="Times New Roman" w:eastAsia="Times New Roman" w:hAnsi="Times New Roman" w:cs="Times New Roman"/>
          <w:sz w:val="28"/>
          <w:szCs w:val="28"/>
        </w:rPr>
      </w:pPr>
      <w:bookmarkStart w:id="12" w:name="_lnxbz9" w:colFirst="0" w:colLast="0"/>
      <w:bookmarkEnd w:id="12"/>
      <w:r w:rsidRPr="00D05B1E">
        <w:rPr>
          <w:rFonts w:ascii="Times New Roman" w:eastAsia="Times New Roman" w:hAnsi="Times New Roman" w:cs="Times New Roman"/>
          <w:sz w:val="28"/>
          <w:szCs w:val="28"/>
        </w:rPr>
        <w:t xml:space="preserve">2.2.2.2 Academic Leadership in Teaching </w:t>
      </w:r>
    </w:p>
    <w:p w14:paraId="64DF9E69" w14:textId="77777777" w:rsidR="00E928E6" w:rsidRPr="00E928E6" w:rsidRDefault="00E928E6" w:rsidP="00E928E6"/>
    <w:p w14:paraId="336BFDCB" w14:textId="1316F66B"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sidRPr="001123B4">
        <w:rPr>
          <w:rFonts w:ascii="Times New Roman" w:eastAsia="Times New Roman" w:hAnsi="Times New Roman" w:cs="Times New Roman"/>
          <w:sz w:val="24"/>
          <w:szCs w:val="24"/>
        </w:rPr>
        <w:t xml:space="preserve">MLFTC faculty members </w:t>
      </w:r>
      <w:r>
        <w:rPr>
          <w:rFonts w:ascii="Times New Roman" w:eastAsia="Times New Roman" w:hAnsi="Times New Roman" w:cs="Times New Roman"/>
          <w:color w:val="000000"/>
          <w:sz w:val="24"/>
          <w:szCs w:val="24"/>
        </w:rPr>
        <w:t>are encouraged to make substantive contributions to teaching via academic leadership, teaching innovations</w:t>
      </w:r>
      <w:r w:rsidR="006676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instructional initiatives. Academic leadership occurs beyond the purview of a faculty member's assigned roles and responsibilities, and academic leadership in teaching can occur at institutional, professional, and community levels. Examples of academic leadership in teaching include but are not limited to: </w:t>
      </w:r>
    </w:p>
    <w:p w14:paraId="0620A3AE" w14:textId="52760BB1" w:rsidR="00D05B1E" w:rsidRP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sidRPr="00D05B1E">
        <w:rPr>
          <w:rFonts w:ascii="Times New Roman" w:eastAsia="Times New Roman" w:hAnsi="Times New Roman" w:cs="Times New Roman"/>
          <w:color w:val="000000"/>
          <w:sz w:val="24"/>
          <w:szCs w:val="24"/>
        </w:rPr>
        <w:t>Development and delivery of local, state, regional, national, or international professional</w:t>
      </w:r>
    </w:p>
    <w:p w14:paraId="2946B464" w14:textId="77777777" w:rsidR="00D05B1E" w:rsidRDefault="00D05B1E" w:rsidP="00D05B1E">
      <w:pPr>
        <w:widowControl w:val="0"/>
        <w:pBdr>
          <w:top w:val="nil"/>
          <w:left w:val="nil"/>
          <w:bottom w:val="nil"/>
          <w:right w:val="nil"/>
          <w:between w:val="nil"/>
        </w:pBdr>
        <w:spacing w:line="240" w:lineRule="auto"/>
        <w:ind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05B1E">
        <w:rPr>
          <w:rFonts w:ascii="Times New Roman" w:eastAsia="Times New Roman" w:hAnsi="Times New Roman" w:cs="Times New Roman"/>
          <w:color w:val="000000"/>
          <w:sz w:val="24"/>
          <w:szCs w:val="24"/>
        </w:rPr>
        <w:t xml:space="preserve">development workshops on teaching </w:t>
      </w:r>
    </w:p>
    <w:p w14:paraId="7908FE66" w14:textId="1F304CD7" w:rsidR="00D05B1E" w:rsidRP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sidRPr="00D05B1E">
        <w:rPr>
          <w:rFonts w:ascii="Times New Roman" w:eastAsia="Times New Roman" w:hAnsi="Times New Roman" w:cs="Times New Roman"/>
          <w:color w:val="000000"/>
          <w:sz w:val="24"/>
          <w:szCs w:val="24"/>
        </w:rPr>
        <w:t xml:space="preserve">Demonstrated leadership in professional organizations related to the improvement of teaching and instruction </w:t>
      </w:r>
    </w:p>
    <w:p w14:paraId="50B89CDF" w14:textId="77777777" w:rsidR="00D05B1E" w:rsidRPr="00D05B1E" w:rsidRDefault="00D05B1E">
      <w:pPr>
        <w:numPr>
          <w:ilvl w:val="0"/>
          <w:numId w:val="7"/>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w:t>
      </w:r>
      <w:r w:rsidRPr="00D05B1E">
        <w:rPr>
          <w:rFonts w:ascii="Times New Roman" w:eastAsia="Times New Roman" w:hAnsi="Times New Roman" w:cs="Times New Roman"/>
          <w:sz w:val="24"/>
          <w:szCs w:val="24"/>
        </w:rPr>
        <w:t xml:space="preserve">receipt, implementation, and/or analysis of external teaching-related grants </w:t>
      </w:r>
    </w:p>
    <w:p w14:paraId="1FA72971" w14:textId="0C53246B" w:rsid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Evidenced </w:t>
      </w:r>
      <w:r w:rsidRPr="00D05B1E">
        <w:rPr>
          <w:rFonts w:ascii="Times New Roman" w:eastAsia="Times New Roman" w:hAnsi="Times New Roman" w:cs="Times New Roman"/>
          <w:sz w:val="24"/>
          <w:szCs w:val="24"/>
        </w:rPr>
        <w:t>adoption and external recognition of new teaching paradigms, frameworks, and/or innovative approaches</w:t>
      </w:r>
    </w:p>
    <w:p w14:paraId="797FBBF7" w14:textId="5DC9A88E" w:rsid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w:t>
      </w:r>
      <w:r w:rsidRPr="00D05B1E">
        <w:rPr>
          <w:rFonts w:ascii="Times New Roman" w:eastAsia="Times New Roman" w:hAnsi="Times New Roman" w:cs="Times New Roman"/>
          <w:sz w:val="24"/>
          <w:szCs w:val="24"/>
        </w:rPr>
        <w:t>of new undergraduate, graduate, and/or certificate programs</w:t>
      </w:r>
    </w:p>
    <w:p w14:paraId="33D74645" w14:textId="09126CC8" w:rsidR="00D05B1E" w:rsidRP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r w:rsidRPr="00D05B1E">
        <w:rPr>
          <w:rFonts w:ascii="Times New Roman" w:eastAsia="Times New Roman" w:hAnsi="Times New Roman" w:cs="Times New Roman"/>
          <w:color w:val="000000"/>
          <w:sz w:val="24"/>
          <w:szCs w:val="24"/>
        </w:rPr>
        <w:t>coordination, course coordination</w:t>
      </w:r>
    </w:p>
    <w:p w14:paraId="1AEE81CE" w14:textId="048D817F" w:rsidR="00D05B1E" w:rsidRP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Developmental </w:t>
      </w:r>
      <w:r w:rsidRPr="00D05B1E">
        <w:rPr>
          <w:rFonts w:ascii="Times New Roman" w:eastAsia="Times New Roman" w:hAnsi="Times New Roman" w:cs="Times New Roman"/>
          <w:color w:val="000000"/>
          <w:sz w:val="24"/>
          <w:szCs w:val="24"/>
        </w:rPr>
        <w:t xml:space="preserve">grants (e.g., sponsored projects related to teaching, professional development)  </w:t>
      </w:r>
    </w:p>
    <w:p w14:paraId="771201B4" w14:textId="51706A4D" w:rsidR="00D05B1E" w:rsidRPr="00D05B1E" w:rsidRDefault="00D05B1E">
      <w:pPr>
        <w:widowControl w:val="0"/>
        <w:numPr>
          <w:ilvl w:val="0"/>
          <w:numId w:val="7"/>
        </w:numP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Contributions </w:t>
      </w:r>
      <w:r w:rsidRPr="00D05B1E">
        <w:rPr>
          <w:rFonts w:ascii="Times New Roman" w:eastAsia="Times New Roman" w:hAnsi="Times New Roman" w:cs="Times New Roman"/>
          <w:color w:val="000000"/>
          <w:sz w:val="24"/>
          <w:szCs w:val="24"/>
        </w:rPr>
        <w:t>to the scholarship of teaching via action or applied research</w:t>
      </w:r>
    </w:p>
    <w:p w14:paraId="4591AD75"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00B84CBB" w14:textId="5F0630A8"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See also </w:t>
      </w:r>
      <w:hyperlink r:id="rId29" w:history="1">
        <w:r w:rsidRPr="0012306B">
          <w:rPr>
            <w:rStyle w:val="Hyperlink"/>
            <w:rFonts w:ascii="Times New Roman" w:eastAsia="Times New Roman" w:hAnsi="Times New Roman" w:cs="Times New Roman"/>
            <w:sz w:val="24"/>
            <w:szCs w:val="24"/>
          </w:rPr>
          <w:t>ACD 305–08: Academic Advisement</w:t>
        </w:r>
      </w:hyperlink>
      <w:r>
        <w:rPr>
          <w:rFonts w:ascii="Times New Roman" w:eastAsia="Times New Roman" w:hAnsi="Times New Roman" w:cs="Times New Roman"/>
          <w:color w:val="0000FF"/>
          <w:sz w:val="24"/>
          <w:szCs w:val="24"/>
          <w:u w:val="single"/>
        </w:rPr>
        <w:t xml:space="preserve">; </w:t>
      </w:r>
      <w:hyperlink r:id="rId30" w:history="1">
        <w:r w:rsidRPr="0012306B">
          <w:rPr>
            <w:rStyle w:val="Hyperlink"/>
            <w:rFonts w:ascii="Times New Roman" w:eastAsia="Times New Roman" w:hAnsi="Times New Roman" w:cs="Times New Roman"/>
            <w:sz w:val="24"/>
            <w:szCs w:val="24"/>
          </w:rPr>
          <w:t>ACD 202–01: Faculty Responsibilities</w:t>
        </w:r>
      </w:hyperlink>
      <w:r>
        <w:rPr>
          <w:rFonts w:ascii="Times New Roman" w:eastAsia="Times New Roman" w:hAnsi="Times New Roman" w:cs="Times New Roman"/>
          <w:color w:val="000000"/>
          <w:sz w:val="24"/>
          <w:szCs w:val="24"/>
        </w:rPr>
        <w:t xml:space="preserve">; </w:t>
      </w:r>
      <w:hyperlink r:id="rId31" w:history="1">
        <w:r w:rsidRPr="0012306B">
          <w:rPr>
            <w:rStyle w:val="Hyperlink"/>
            <w:rFonts w:ascii="Times New Roman" w:eastAsia="Times New Roman" w:hAnsi="Times New Roman" w:cs="Times New Roman"/>
            <w:sz w:val="24"/>
            <w:szCs w:val="24"/>
          </w:rPr>
          <w:t>ACD 304–09 - Evaluation of Teaching</w:t>
        </w:r>
      </w:hyperlink>
      <w:r>
        <w:rPr>
          <w:rFonts w:ascii="Times New Roman" w:eastAsia="Times New Roman" w:hAnsi="Times New Roman" w:cs="Times New Roman"/>
          <w:color w:val="000000"/>
          <w:sz w:val="24"/>
          <w:szCs w:val="24"/>
        </w:rPr>
        <w:t xml:space="preserve">; </w:t>
      </w:r>
      <w:hyperlink r:id="rId32" w:history="1">
        <w:r w:rsidRPr="0012306B">
          <w:rPr>
            <w:rStyle w:val="Hyperlink"/>
            <w:rFonts w:ascii="Times New Roman" w:eastAsia="Times New Roman" w:hAnsi="Times New Roman" w:cs="Times New Roman"/>
            <w:sz w:val="24"/>
            <w:szCs w:val="24"/>
          </w:rPr>
          <w:t>ACD 304– 10 - Course Syllabus</w:t>
        </w:r>
      </w:hyperlink>
      <w:r>
        <w:rPr>
          <w:rFonts w:ascii="Times New Roman" w:eastAsia="Times New Roman" w:hAnsi="Times New Roman" w:cs="Times New Roman"/>
          <w:color w:val="000000"/>
          <w:sz w:val="24"/>
          <w:szCs w:val="24"/>
        </w:rPr>
        <w:t xml:space="preserve">; </w:t>
      </w:r>
      <w:hyperlink r:id="rId33" w:history="1">
        <w:r w:rsidRPr="0012306B">
          <w:rPr>
            <w:rStyle w:val="Hyperlink"/>
            <w:rFonts w:ascii="Times New Roman" w:eastAsia="Times New Roman" w:hAnsi="Times New Roman" w:cs="Times New Roman"/>
            <w:sz w:val="24"/>
            <w:szCs w:val="24"/>
          </w:rPr>
          <w:t>ACD 305–08 - Academic Advisement</w:t>
        </w:r>
      </w:hyperlink>
      <w:r>
        <w:rPr>
          <w:rFonts w:ascii="Times New Roman" w:eastAsia="Times New Roman" w:hAnsi="Times New Roman" w:cs="Times New Roman"/>
          <w:color w:val="000000"/>
          <w:sz w:val="24"/>
          <w:szCs w:val="24"/>
        </w:rPr>
        <w:t xml:space="preserve">; </w:t>
      </w:r>
      <w:hyperlink r:id="rId34" w:history="1">
        <w:r w:rsidRPr="0012306B">
          <w:rPr>
            <w:rStyle w:val="Hyperlink"/>
            <w:rFonts w:ascii="Times New Roman" w:eastAsia="Times New Roman" w:hAnsi="Times New Roman" w:cs="Times New Roman"/>
            <w:sz w:val="24"/>
            <w:szCs w:val="24"/>
          </w:rPr>
          <w:t>ACD 506–05 - Faculty Promotion</w:t>
        </w:r>
      </w:hyperlink>
      <w:r>
        <w:rPr>
          <w:rFonts w:ascii="Times New Roman" w:eastAsia="Times New Roman" w:hAnsi="Times New Roman" w:cs="Times New Roman"/>
          <w:color w:val="0000FF"/>
          <w:sz w:val="24"/>
          <w:szCs w:val="24"/>
        </w:rPr>
        <w:t xml:space="preserve"> </w:t>
      </w:r>
    </w:p>
    <w:p w14:paraId="08C6F41F" w14:textId="77777777" w:rsidR="00D05B1E" w:rsidRDefault="00D05B1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p>
    <w:p w14:paraId="454097BB" w14:textId="77777777" w:rsidR="00D05B1E" w:rsidRDefault="0035498F" w:rsidP="0017430C">
      <w:pPr>
        <w:pStyle w:val="Heading2"/>
        <w:spacing w:before="0" w:after="0" w:line="240" w:lineRule="auto"/>
        <w:ind w:left="1440" w:right="1440"/>
        <w:rPr>
          <w:rFonts w:ascii="Times New Roman" w:eastAsia="Times New Roman" w:hAnsi="Times New Roman" w:cs="Times New Roman"/>
        </w:rPr>
      </w:pPr>
      <w:bookmarkStart w:id="13" w:name="_44sinio" w:colFirst="0" w:colLast="0"/>
      <w:bookmarkEnd w:id="13"/>
      <w:r>
        <w:rPr>
          <w:rFonts w:ascii="Times New Roman" w:eastAsia="Times New Roman" w:hAnsi="Times New Roman" w:cs="Times New Roman"/>
        </w:rPr>
        <w:lastRenderedPageBreak/>
        <w:t>2.2.3 Service</w:t>
      </w:r>
    </w:p>
    <w:p w14:paraId="396452A3" w14:textId="2641CC1F" w:rsidR="00752D14" w:rsidRPr="00D05B1E" w:rsidRDefault="0035498F" w:rsidP="0017430C">
      <w:pPr>
        <w:pStyle w:val="Heading2"/>
        <w:spacing w:before="0" w:after="0" w:line="240" w:lineRule="auto"/>
        <w:ind w:left="1440" w:right="1440"/>
        <w:rPr>
          <w:rFonts w:ascii="Times New Roman" w:eastAsia="Times New Roman" w:hAnsi="Times New Roman" w:cs="Times New Roman"/>
          <w:sz w:val="24"/>
          <w:szCs w:val="24"/>
        </w:rPr>
      </w:pPr>
      <w:r w:rsidRPr="00D05B1E">
        <w:rPr>
          <w:rFonts w:ascii="Times New Roman" w:eastAsia="Times New Roman" w:hAnsi="Times New Roman" w:cs="Times New Roman"/>
          <w:sz w:val="24"/>
          <w:szCs w:val="24"/>
        </w:rPr>
        <w:t xml:space="preserve">  </w:t>
      </w:r>
    </w:p>
    <w:p w14:paraId="58C3139A" w14:textId="77777777" w:rsidR="00752D14" w:rsidRDefault="0035498F" w:rsidP="0017430C">
      <w:pPr>
        <w:pStyle w:val="Heading3"/>
        <w:spacing w:before="0" w:after="0" w:line="240" w:lineRule="auto"/>
        <w:ind w:left="1440" w:right="1440"/>
        <w:rPr>
          <w:rFonts w:ascii="Times New Roman" w:eastAsia="Times New Roman" w:hAnsi="Times New Roman" w:cs="Times New Roman"/>
        </w:rPr>
      </w:pPr>
      <w:bookmarkStart w:id="14" w:name="_2jxsxqh" w:colFirst="0" w:colLast="0"/>
      <w:bookmarkEnd w:id="14"/>
      <w:r>
        <w:rPr>
          <w:rFonts w:ascii="Times New Roman" w:eastAsia="Times New Roman" w:hAnsi="Times New Roman" w:cs="Times New Roman"/>
        </w:rPr>
        <w:t xml:space="preserve">2.2.3.1 Guiding Principles </w:t>
      </w:r>
    </w:p>
    <w:p w14:paraId="630AE044" w14:textId="77777777" w:rsidR="00E928E6" w:rsidRPr="00E928E6" w:rsidRDefault="00E928E6" w:rsidP="00E928E6"/>
    <w:p w14:paraId="4ED3DED3" w14:textId="203D208D"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Service requires active participation and special expertise of </w:t>
      </w:r>
      <w:r w:rsidR="00D05B1E">
        <w:rPr>
          <w:rFonts w:ascii="Times New Roman" w:eastAsia="Times New Roman" w:hAnsi="Times New Roman" w:cs="Times New Roman"/>
          <w:sz w:val="24"/>
          <w:szCs w:val="24"/>
        </w:rPr>
        <w:t xml:space="preserve">MFLTC </w:t>
      </w:r>
      <w:r w:rsidRPr="001123B4">
        <w:rPr>
          <w:rFonts w:ascii="Times New Roman" w:eastAsia="Times New Roman" w:hAnsi="Times New Roman" w:cs="Times New Roman"/>
          <w:sz w:val="24"/>
          <w:szCs w:val="24"/>
        </w:rPr>
        <w:t>faculty members</w:t>
      </w:r>
      <w:r w:rsidR="004A1A78">
        <w:rPr>
          <w:rFonts w:ascii="Times New Roman" w:eastAsia="Times New Roman" w:hAnsi="Times New Roman" w:cs="Times New Roman"/>
          <w:sz w:val="24"/>
          <w:szCs w:val="24"/>
        </w:rPr>
        <w:t xml:space="preserve"> </w:t>
      </w:r>
      <w:r w:rsidRPr="001123B4">
        <w:rPr>
          <w:rFonts w:ascii="Times New Roman" w:eastAsia="Times New Roman" w:hAnsi="Times New Roman" w:cs="Times New Roman"/>
          <w:sz w:val="24"/>
          <w:szCs w:val="24"/>
        </w:rPr>
        <w:t>for its operation and continued development. In MLFTC, all faculty members whose position description includes an expectation of service should demonstrate service of high</w:t>
      </w:r>
      <w:r w:rsidR="00413B90">
        <w:rPr>
          <w:rFonts w:ascii="Times New Roman" w:eastAsia="Times New Roman" w:hAnsi="Times New Roman" w:cs="Times New Roman"/>
          <w:sz w:val="24"/>
          <w:szCs w:val="24"/>
        </w:rPr>
        <w:t xml:space="preserve"> </w:t>
      </w:r>
      <w:r w:rsidRPr="001123B4">
        <w:rPr>
          <w:rFonts w:ascii="Times New Roman" w:eastAsia="Times New Roman" w:hAnsi="Times New Roman" w:cs="Times New Roman"/>
          <w:sz w:val="24"/>
          <w:szCs w:val="24"/>
        </w:rPr>
        <w:t>quality and high</w:t>
      </w:r>
      <w:r w:rsidR="00413B90">
        <w:rPr>
          <w:rFonts w:ascii="Times New Roman" w:eastAsia="Times New Roman" w:hAnsi="Times New Roman" w:cs="Times New Roman"/>
          <w:sz w:val="24"/>
          <w:szCs w:val="24"/>
        </w:rPr>
        <w:t xml:space="preserve"> </w:t>
      </w:r>
      <w:r w:rsidRPr="001123B4">
        <w:rPr>
          <w:rFonts w:ascii="Times New Roman" w:eastAsia="Times New Roman" w:hAnsi="Times New Roman" w:cs="Times New Roman"/>
          <w:sz w:val="24"/>
          <w:szCs w:val="24"/>
        </w:rPr>
        <w:t>impact and serve in a wide range of activities that provide service to education and other professions.</w:t>
      </w:r>
    </w:p>
    <w:p w14:paraId="39E1A353" w14:textId="77777777" w:rsidR="00D05B1E" w:rsidRPr="001123B4" w:rsidRDefault="00D05B1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3118235D" w14:textId="77777777" w:rsidR="00752D14" w:rsidRPr="001123B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Service may be demonstrated in three areas:  </w:t>
      </w:r>
    </w:p>
    <w:p w14:paraId="0611710B" w14:textId="7DB250C0" w:rsidR="00752D14" w:rsidRPr="001123B4" w:rsidRDefault="0035498F">
      <w:pPr>
        <w:widowControl w:val="0"/>
        <w:numPr>
          <w:ilvl w:val="0"/>
          <w:numId w:val="12"/>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Institutional (university, college, division) </w:t>
      </w:r>
    </w:p>
    <w:p w14:paraId="662A66B2" w14:textId="3CD0D31B" w:rsidR="00752D14" w:rsidRPr="001123B4" w:rsidRDefault="0035498F">
      <w:pPr>
        <w:widowControl w:val="0"/>
        <w:numPr>
          <w:ilvl w:val="0"/>
          <w:numId w:val="12"/>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Professional (local, national and/or international)</w:t>
      </w:r>
    </w:p>
    <w:p w14:paraId="03B2A13F" w14:textId="323F884E" w:rsidR="00752D14" w:rsidRPr="001123B4" w:rsidRDefault="0035498F">
      <w:pPr>
        <w:widowControl w:val="0"/>
        <w:numPr>
          <w:ilvl w:val="0"/>
          <w:numId w:val="12"/>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bookmarkStart w:id="15" w:name="_z337ya" w:colFirst="0" w:colLast="0"/>
      <w:bookmarkEnd w:id="15"/>
      <w:r w:rsidRPr="001123B4">
        <w:rPr>
          <w:rFonts w:ascii="Times New Roman" w:eastAsia="Times New Roman" w:hAnsi="Times New Roman" w:cs="Times New Roman"/>
          <w:sz w:val="24"/>
          <w:szCs w:val="24"/>
        </w:rPr>
        <w:t>Community (local, national and/or international)</w:t>
      </w:r>
    </w:p>
    <w:p w14:paraId="55D8830D" w14:textId="77777777" w:rsidR="00D05B1E" w:rsidRDefault="00D05B1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76E0948C" w14:textId="20ACA520"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sidRPr="001123B4">
        <w:rPr>
          <w:rFonts w:ascii="Times New Roman" w:eastAsia="Times New Roman" w:hAnsi="Times New Roman" w:cs="Times New Roman"/>
          <w:sz w:val="24"/>
          <w:szCs w:val="24"/>
        </w:rPr>
        <w:t>MLFTC encourages faculty members</w:t>
      </w:r>
      <w:r w:rsidR="004A1A78" w:rsidRPr="008E45AB">
        <w:rPr>
          <w:rFonts w:ascii="Times New Roman" w:eastAsia="Times New Roman" w:hAnsi="Times New Roman" w:cs="Times New Roman"/>
          <w:color w:val="C00000"/>
          <w:sz w:val="24"/>
          <w:szCs w:val="24"/>
        </w:rPr>
        <w:t xml:space="preserve"> </w:t>
      </w:r>
      <w:r w:rsidRPr="001123B4">
        <w:rPr>
          <w:rFonts w:ascii="Times New Roman" w:eastAsia="Times New Roman" w:hAnsi="Times New Roman" w:cs="Times New Roman"/>
          <w:sz w:val="24"/>
          <w:szCs w:val="24"/>
        </w:rPr>
        <w:t xml:space="preserve">to maintain an appropriate balance between service to the </w:t>
      </w:r>
      <w:r w:rsidR="00925028">
        <w:rPr>
          <w:rFonts w:ascii="Times New Roman" w:eastAsia="Times New Roman" w:hAnsi="Times New Roman" w:cs="Times New Roman"/>
          <w:sz w:val="24"/>
          <w:szCs w:val="24"/>
        </w:rPr>
        <w:t>c</w:t>
      </w:r>
      <w:r w:rsidRPr="001123B4">
        <w:rPr>
          <w:rFonts w:ascii="Times New Roman" w:eastAsia="Times New Roman" w:hAnsi="Times New Roman" w:cs="Times New Roman"/>
          <w:sz w:val="24"/>
          <w:szCs w:val="24"/>
        </w:rPr>
        <w:t>ollege and university and service that reflects s</w:t>
      </w:r>
      <w:r>
        <w:rPr>
          <w:rFonts w:ascii="Times New Roman" w:eastAsia="Times New Roman" w:hAnsi="Times New Roman" w:cs="Times New Roman"/>
          <w:color w:val="000000"/>
          <w:sz w:val="24"/>
          <w:szCs w:val="24"/>
        </w:rPr>
        <w:t>pecial contributions to the broader profession and community.</w:t>
      </w:r>
      <w:r>
        <w:rPr>
          <w:rFonts w:ascii="Times New Roman" w:eastAsia="Times New Roman" w:hAnsi="Times New Roman" w:cs="Times New Roman"/>
          <w:sz w:val="24"/>
          <w:szCs w:val="24"/>
        </w:rPr>
        <w:t xml:space="preserve"> </w:t>
      </w:r>
      <w:r w:rsidRPr="00925028">
        <w:rPr>
          <w:rFonts w:ascii="Times New Roman" w:eastAsia="Times New Roman" w:hAnsi="Times New Roman" w:cs="Times New Roman"/>
          <w:color w:val="000000" w:themeColor="text1"/>
          <w:sz w:val="24"/>
          <w:szCs w:val="24"/>
          <w:highlight w:val="white"/>
        </w:rPr>
        <w:t>Faculty members are encouraged to be strategic in their selection of service by connecting service goals to scholarly activities or teaching as well, and they should be certain to demonstrate the quality of service associated with special contributions and leadership roles they exercise in fulfilling their service endeavors.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Faculty members</w:t>
      </w:r>
      <w:r w:rsidRPr="008E45AB">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000000"/>
          <w:sz w:val="24"/>
          <w:szCs w:val="24"/>
        </w:rPr>
        <w:t xml:space="preserve">in consultation with </w:t>
      </w:r>
      <w:r w:rsidRPr="00925028">
        <w:rPr>
          <w:rFonts w:ascii="Times New Roman" w:eastAsia="Times New Roman" w:hAnsi="Times New Roman" w:cs="Times New Roman"/>
          <w:color w:val="000000" w:themeColor="text1"/>
          <w:sz w:val="24"/>
          <w:szCs w:val="24"/>
        </w:rPr>
        <w:t xml:space="preserve">vice deans, </w:t>
      </w:r>
      <w:r>
        <w:rPr>
          <w:rFonts w:ascii="Times New Roman" w:eastAsia="Times New Roman" w:hAnsi="Times New Roman" w:cs="Times New Roman"/>
          <w:color w:val="000000"/>
          <w:sz w:val="24"/>
          <w:szCs w:val="24"/>
        </w:rPr>
        <w:t xml:space="preserve">may wish to emphasize different types of service at different points in their careers. </w:t>
      </w:r>
    </w:p>
    <w:p w14:paraId="55CAF8C4" w14:textId="77777777" w:rsidR="00D05B1E" w:rsidRDefault="00D05B1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7EB3FD9C" w14:textId="4A5CD57A" w:rsidR="00D05B1E"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Service may be of two types: </w:t>
      </w:r>
    </w:p>
    <w:p w14:paraId="75725354" w14:textId="1A478289" w:rsidR="00D05B1E" w:rsidRDefault="0035498F">
      <w:pPr>
        <w:pStyle w:val="ListParagraph"/>
        <w:widowControl w:val="0"/>
        <w:numPr>
          <w:ilvl w:val="0"/>
          <w:numId w:val="1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D05B1E">
        <w:rPr>
          <w:rFonts w:ascii="Times New Roman" w:eastAsia="Times New Roman" w:hAnsi="Times New Roman" w:cs="Times New Roman"/>
          <w:sz w:val="24"/>
          <w:szCs w:val="24"/>
        </w:rPr>
        <w:t xml:space="preserve">That which is associated with the standard requirements of good citizenship as this type of service helps to accomplish and meet the basic obligations of the ongoing important work of the college, campus, and university. These service endeavors are essential to the vitality of the </w:t>
      </w:r>
      <w:r w:rsidR="00BE624D">
        <w:rPr>
          <w:rFonts w:ascii="Times New Roman" w:eastAsia="Times New Roman" w:hAnsi="Times New Roman" w:cs="Times New Roman"/>
          <w:sz w:val="24"/>
          <w:szCs w:val="24"/>
        </w:rPr>
        <w:t>c</w:t>
      </w:r>
      <w:r w:rsidRPr="00D05B1E">
        <w:rPr>
          <w:rFonts w:ascii="Times New Roman" w:eastAsia="Times New Roman" w:hAnsi="Times New Roman" w:cs="Times New Roman"/>
          <w:sz w:val="24"/>
          <w:szCs w:val="24"/>
        </w:rPr>
        <w:t xml:space="preserve">ollege as they extend professional knowledge that results in the improvement of professional practice. Further, they contribute substantially to the </w:t>
      </w:r>
      <w:r w:rsidR="00CA68E5" w:rsidRPr="00D05B1E">
        <w:rPr>
          <w:rFonts w:ascii="Times New Roman" w:eastAsia="Times New Roman" w:hAnsi="Times New Roman" w:cs="Times New Roman"/>
          <w:sz w:val="24"/>
          <w:szCs w:val="24"/>
        </w:rPr>
        <w:t>c</w:t>
      </w:r>
      <w:r w:rsidRPr="00D05B1E">
        <w:rPr>
          <w:rFonts w:ascii="Times New Roman" w:eastAsia="Times New Roman" w:hAnsi="Times New Roman" w:cs="Times New Roman"/>
          <w:sz w:val="24"/>
          <w:szCs w:val="24"/>
        </w:rPr>
        <w:t xml:space="preserve">ollege’s local, national, and international reputation and influence. Service to the </w:t>
      </w:r>
      <w:r w:rsidR="00CA68E5" w:rsidRPr="00D05B1E">
        <w:rPr>
          <w:rFonts w:ascii="Times New Roman" w:eastAsia="Times New Roman" w:hAnsi="Times New Roman" w:cs="Times New Roman"/>
          <w:sz w:val="24"/>
          <w:szCs w:val="24"/>
        </w:rPr>
        <w:t>c</w:t>
      </w:r>
      <w:r w:rsidRPr="00D05B1E">
        <w:rPr>
          <w:rFonts w:ascii="Times New Roman" w:eastAsia="Times New Roman" w:hAnsi="Times New Roman" w:cs="Times New Roman"/>
          <w:sz w:val="24"/>
          <w:szCs w:val="24"/>
        </w:rPr>
        <w:t>ollege, therefore, is an expectation of all faculty members</w:t>
      </w:r>
      <w:r w:rsidR="001340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sz w:val="24"/>
          <w:szCs w:val="24"/>
        </w:rPr>
        <w:t xml:space="preserve">to ensure the continued effective functioning of the </w:t>
      </w:r>
      <w:r w:rsidR="00BE624D">
        <w:rPr>
          <w:rFonts w:ascii="Times New Roman" w:eastAsia="Times New Roman" w:hAnsi="Times New Roman" w:cs="Times New Roman"/>
          <w:sz w:val="24"/>
          <w:szCs w:val="24"/>
        </w:rPr>
        <w:t>c</w:t>
      </w:r>
      <w:r w:rsidRPr="00D05B1E">
        <w:rPr>
          <w:rFonts w:ascii="Times New Roman" w:eastAsia="Times New Roman" w:hAnsi="Times New Roman" w:cs="Times New Roman"/>
          <w:sz w:val="24"/>
          <w:szCs w:val="24"/>
        </w:rPr>
        <w:t>ollege.</w:t>
      </w:r>
    </w:p>
    <w:p w14:paraId="4E51579D" w14:textId="64DF6CD2" w:rsidR="00752D14" w:rsidRPr="00D05B1E" w:rsidRDefault="0035498F">
      <w:pPr>
        <w:pStyle w:val="ListParagraph"/>
        <w:widowControl w:val="0"/>
        <w:numPr>
          <w:ilvl w:val="0"/>
          <w:numId w:val="14"/>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D05B1E">
        <w:rPr>
          <w:rFonts w:ascii="Times New Roman" w:eastAsia="Times New Roman" w:hAnsi="Times New Roman" w:cs="Times New Roman"/>
          <w:color w:val="000000"/>
          <w:sz w:val="24"/>
          <w:szCs w:val="24"/>
        </w:rPr>
        <w:t xml:space="preserve">That which is associated with special contributions based on faculty members’ expertise or scholarship that may be provided within the college, campus, and university, but also more widely at the levels of the profession and community. Service as a special contribution is often selected by faculty members because they are committed to the values of the endeavor or because they have been invited or requested to provide their </w:t>
      </w:r>
      <w:proofErr w:type="gramStart"/>
      <w:r w:rsidRPr="00D05B1E">
        <w:rPr>
          <w:rFonts w:ascii="Times New Roman" w:eastAsia="Times New Roman" w:hAnsi="Times New Roman" w:cs="Times New Roman"/>
          <w:color w:val="000000"/>
          <w:sz w:val="24"/>
          <w:szCs w:val="24"/>
        </w:rPr>
        <w:t>particular expertise</w:t>
      </w:r>
      <w:proofErr w:type="gramEnd"/>
      <w:r w:rsidRPr="00D05B1E">
        <w:rPr>
          <w:rFonts w:ascii="Times New Roman" w:eastAsia="Times New Roman" w:hAnsi="Times New Roman" w:cs="Times New Roman"/>
          <w:color w:val="000000"/>
          <w:sz w:val="24"/>
          <w:szCs w:val="24"/>
        </w:rPr>
        <w:t xml:space="preserve"> to an endeavor. Although these endeavors are sometimes within the university, they more typically arise in broader professional or community contexts. </w:t>
      </w:r>
    </w:p>
    <w:p w14:paraId="1FCC6F13" w14:textId="77777777" w:rsidR="00D05B1E" w:rsidRDefault="00D05B1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219B046B" w14:textId="1001DA91" w:rsidR="00752D14" w:rsidRPr="001123B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Service activities</w:t>
      </w:r>
      <w:r w:rsidRPr="001123B4">
        <w:rPr>
          <w:rFonts w:ascii="Times New Roman" w:eastAsia="Times New Roman" w:hAnsi="Times New Roman" w:cs="Times New Roman"/>
          <w:sz w:val="24"/>
          <w:szCs w:val="24"/>
        </w:rPr>
        <w:t xml:space="preserve"> and endeavors may include but are not limited to: </w:t>
      </w:r>
    </w:p>
    <w:p w14:paraId="5305434E" w14:textId="5D448526"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division, college</w:t>
      </w:r>
      <w:r w:rsidR="00BE624D">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 and university service </w:t>
      </w:r>
    </w:p>
    <w:p w14:paraId="0BF3D74A" w14:textId="733773F1"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journal editorships</w:t>
      </w:r>
    </w:p>
    <w:p w14:paraId="2496DE18" w14:textId="1F6B520D"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serving on review panels </w:t>
      </w:r>
    </w:p>
    <w:p w14:paraId="4AD2F8A3" w14:textId="1B55D454"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serving as </w:t>
      </w:r>
      <w:r w:rsidR="00413B90">
        <w:rPr>
          <w:rFonts w:ascii="Times New Roman" w:eastAsia="Times New Roman" w:hAnsi="Times New Roman" w:cs="Times New Roman"/>
          <w:sz w:val="24"/>
          <w:szCs w:val="24"/>
        </w:rPr>
        <w:t xml:space="preserve">a </w:t>
      </w:r>
      <w:r w:rsidRPr="001123B4">
        <w:rPr>
          <w:rFonts w:ascii="Times New Roman" w:eastAsia="Times New Roman" w:hAnsi="Times New Roman" w:cs="Times New Roman"/>
          <w:sz w:val="24"/>
          <w:szCs w:val="24"/>
        </w:rPr>
        <w:t xml:space="preserve">reviewer for journals </w:t>
      </w:r>
    </w:p>
    <w:p w14:paraId="1A996EB7" w14:textId="0838097B"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officers in professional organizations </w:t>
      </w:r>
    </w:p>
    <w:p w14:paraId="0B3932BB" w14:textId="6E3BD3C4" w:rsidR="00752D14" w:rsidRPr="001123B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lastRenderedPageBreak/>
        <w:t xml:space="preserve">consultants to schools and school districts </w:t>
      </w:r>
    </w:p>
    <w:p w14:paraId="2C5BF804" w14:textId="1878D2CD" w:rsidR="00752D14" w:rsidRDefault="0035498F">
      <w:pPr>
        <w:widowControl w:val="0"/>
        <w:numPr>
          <w:ilvl w:val="0"/>
          <w:numId w:val="11"/>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consultants to external organizations and agencies</w:t>
      </w:r>
    </w:p>
    <w:p w14:paraId="272C76E7" w14:textId="77777777" w:rsidR="00667644" w:rsidRDefault="0066764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5F468140" w14:textId="42D6519F"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The quality and impact of service rendered is more important than the quantity of service. In addition, the level of activity and time commitment of the service rendered, as well as the products created and the influence of the service rendered, provide further evidence of the quality of service. Accomplishment and significance of the service</w:t>
      </w:r>
      <w:r w:rsidR="00667644">
        <w:rPr>
          <w:rFonts w:ascii="Times New Roman" w:eastAsia="Times New Roman" w:hAnsi="Times New Roman" w:cs="Times New Roman"/>
          <w:sz w:val="24"/>
          <w:szCs w:val="24"/>
        </w:rPr>
        <w:t xml:space="preserve"> rendered</w:t>
      </w:r>
      <w:r w:rsidRPr="001123B4">
        <w:rPr>
          <w:rFonts w:ascii="Times New Roman" w:eastAsia="Times New Roman" w:hAnsi="Times New Roman" w:cs="Times New Roman"/>
          <w:sz w:val="24"/>
          <w:szCs w:val="24"/>
        </w:rPr>
        <w:t xml:space="preserve"> are what are most valued in judging the quality of service for the purposes of the various levels of personnel review. </w:t>
      </w:r>
      <w:r w:rsidR="00413B90">
        <w:rPr>
          <w:rFonts w:ascii="Times New Roman" w:eastAsia="Times New Roman" w:hAnsi="Times New Roman" w:cs="Times New Roman"/>
          <w:sz w:val="24"/>
          <w:szCs w:val="24"/>
        </w:rPr>
        <w:t>W</w:t>
      </w:r>
      <w:r w:rsidRPr="001123B4">
        <w:rPr>
          <w:rFonts w:ascii="Times New Roman" w:eastAsia="Times New Roman" w:hAnsi="Times New Roman" w:cs="Times New Roman"/>
          <w:sz w:val="24"/>
          <w:szCs w:val="24"/>
        </w:rPr>
        <w:t>hile meaningful service may be strategic to faculty members’ interests, teaching, and/or scholarly agenda</w:t>
      </w:r>
      <w:r w:rsidR="00667644">
        <w:rPr>
          <w:rFonts w:ascii="Times New Roman" w:eastAsia="Times New Roman" w:hAnsi="Times New Roman" w:cs="Times New Roman"/>
          <w:sz w:val="24"/>
          <w:szCs w:val="24"/>
        </w:rPr>
        <w:t>s</w:t>
      </w:r>
      <w:r w:rsidRPr="001123B4">
        <w:rPr>
          <w:rFonts w:ascii="Times New Roman" w:eastAsia="Times New Roman" w:hAnsi="Times New Roman" w:cs="Times New Roman"/>
          <w:sz w:val="24"/>
          <w:szCs w:val="24"/>
        </w:rPr>
        <w:t xml:space="preserve">, service must be in support of the general good rather than private or commercial interests. Faculty should </w:t>
      </w:r>
      <w:r w:rsidR="00667644">
        <w:rPr>
          <w:rFonts w:ascii="Times New Roman" w:eastAsia="Times New Roman" w:hAnsi="Times New Roman" w:cs="Times New Roman"/>
          <w:sz w:val="24"/>
          <w:szCs w:val="24"/>
        </w:rPr>
        <w:t xml:space="preserve">also </w:t>
      </w:r>
      <w:r w:rsidRPr="001123B4">
        <w:rPr>
          <w:rFonts w:ascii="Times New Roman" w:eastAsia="Times New Roman" w:hAnsi="Times New Roman" w:cs="Times New Roman"/>
          <w:sz w:val="24"/>
          <w:szCs w:val="24"/>
        </w:rPr>
        <w:t xml:space="preserve">seek to align their service activities with </w:t>
      </w:r>
      <w:r w:rsidR="00A06EE4" w:rsidRPr="001C086F">
        <w:rPr>
          <w:rFonts w:ascii="Times New Roman" w:eastAsia="Times New Roman" w:hAnsi="Times New Roman" w:cs="Times New Roman"/>
          <w:sz w:val="24"/>
          <w:szCs w:val="24"/>
        </w:rPr>
        <w:t xml:space="preserve">the </w:t>
      </w:r>
      <w:hyperlink r:id="rId35" w:anchor=":~:text=ASU%20is%20a%20comprehensive%20public,of%20the%20communities%20it%20serves" w:history="1">
        <w:r w:rsidR="00A06EE4" w:rsidRPr="00446C08">
          <w:rPr>
            <w:rStyle w:val="Hyperlink"/>
            <w:rFonts w:ascii="Times New Roman" w:eastAsia="Times New Roman" w:hAnsi="Times New Roman" w:cs="Times New Roman"/>
            <w:sz w:val="24"/>
            <w:szCs w:val="24"/>
          </w:rPr>
          <w:t>ASU Charter</w:t>
        </w:r>
      </w:hyperlink>
      <w:r w:rsidR="00A06EE4" w:rsidRPr="001C086F">
        <w:rPr>
          <w:rFonts w:ascii="Times New Roman" w:eastAsia="Times New Roman" w:hAnsi="Times New Roman" w:cs="Times New Roman"/>
          <w:sz w:val="24"/>
          <w:szCs w:val="24"/>
        </w:rPr>
        <w:t xml:space="preserve"> and</w:t>
      </w:r>
      <w:r w:rsidR="00A06EE4">
        <w:rPr>
          <w:rFonts w:ascii="Times New Roman" w:eastAsia="Times New Roman" w:hAnsi="Times New Roman" w:cs="Times New Roman"/>
          <w:sz w:val="24"/>
          <w:szCs w:val="24"/>
        </w:rPr>
        <w:t xml:space="preserve"> </w:t>
      </w:r>
      <w:hyperlink r:id="rId36" w:history="1">
        <w:r w:rsidR="00A06EE4" w:rsidRPr="00446C08">
          <w:rPr>
            <w:rStyle w:val="Hyperlink"/>
            <w:rFonts w:ascii="Times New Roman" w:eastAsia="Times New Roman" w:hAnsi="Times New Roman" w:cs="Times New Roman"/>
            <w:sz w:val="24"/>
            <w:szCs w:val="24"/>
          </w:rPr>
          <w:t>ASU</w:t>
        </w:r>
        <w:r w:rsidR="00A06EE4">
          <w:rPr>
            <w:rStyle w:val="Hyperlink"/>
            <w:rFonts w:ascii="Times New Roman" w:eastAsia="Times New Roman" w:hAnsi="Times New Roman" w:cs="Times New Roman"/>
            <w:sz w:val="24"/>
            <w:szCs w:val="24"/>
          </w:rPr>
          <w:t>’s</w:t>
        </w:r>
        <w:r w:rsidR="00A06EE4" w:rsidRPr="00446C08">
          <w:rPr>
            <w:rStyle w:val="Hyperlink"/>
            <w:rFonts w:ascii="Times New Roman" w:eastAsia="Times New Roman" w:hAnsi="Times New Roman" w:cs="Times New Roman"/>
            <w:sz w:val="24"/>
            <w:szCs w:val="24"/>
          </w:rPr>
          <w:t xml:space="preserve"> Design Aspirations</w:t>
        </w:r>
      </w:hyperlink>
      <w:r w:rsidRPr="001123B4">
        <w:rPr>
          <w:rFonts w:ascii="Times New Roman" w:eastAsia="Times New Roman" w:hAnsi="Times New Roman" w:cs="Times New Roman"/>
          <w:sz w:val="24"/>
          <w:szCs w:val="24"/>
        </w:rPr>
        <w:t xml:space="preserve"> as a way to contribute to needed action in education including activities that contribute to aspects of </w:t>
      </w:r>
      <w:r w:rsidR="00D9398B">
        <w:rPr>
          <w:rFonts w:ascii="Times New Roman" w:eastAsia="Times New Roman" w:hAnsi="Times New Roman" w:cs="Times New Roman"/>
          <w:sz w:val="24"/>
          <w:szCs w:val="24"/>
        </w:rPr>
        <w:t>inclusive excellence</w:t>
      </w:r>
      <w:r w:rsidRPr="001123B4">
        <w:rPr>
          <w:rFonts w:ascii="Times New Roman" w:eastAsia="Times New Roman" w:hAnsi="Times New Roman" w:cs="Times New Roman"/>
          <w:sz w:val="24"/>
          <w:szCs w:val="24"/>
        </w:rPr>
        <w:t xml:space="preserve">. </w:t>
      </w:r>
    </w:p>
    <w:p w14:paraId="3FF9DB29" w14:textId="77777777" w:rsidR="00BE624D" w:rsidRPr="001123B4" w:rsidRDefault="00BE624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2ED95F40" w14:textId="012A7002" w:rsidR="00752D14" w:rsidRDefault="0035498F" w:rsidP="0017430C">
      <w:pPr>
        <w:pStyle w:val="Heading4"/>
        <w:spacing w:before="0" w:after="0" w:line="240" w:lineRule="auto"/>
        <w:ind w:left="1440" w:right="1440"/>
        <w:rPr>
          <w:rFonts w:ascii="Times New Roman" w:eastAsia="Times New Roman" w:hAnsi="Times New Roman" w:cs="Times New Roman"/>
          <w:sz w:val="28"/>
          <w:szCs w:val="28"/>
        </w:rPr>
      </w:pPr>
      <w:bookmarkStart w:id="16" w:name="_3j2qqm3" w:colFirst="0" w:colLast="0"/>
      <w:bookmarkEnd w:id="16"/>
      <w:r w:rsidRPr="00667644">
        <w:rPr>
          <w:rFonts w:ascii="Times New Roman" w:eastAsia="Times New Roman" w:hAnsi="Times New Roman" w:cs="Times New Roman"/>
          <w:sz w:val="28"/>
          <w:szCs w:val="28"/>
        </w:rPr>
        <w:t xml:space="preserve">2.2.3.2 Academic Leadership in Service </w:t>
      </w:r>
    </w:p>
    <w:p w14:paraId="499E1FE4" w14:textId="77777777" w:rsidR="00E928E6" w:rsidRPr="00E928E6" w:rsidRDefault="00E928E6" w:rsidP="00E928E6"/>
    <w:p w14:paraId="6427DC69" w14:textId="7BE699C2" w:rsidR="00752D14" w:rsidRPr="001123B4" w:rsidRDefault="00893376"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MLFTC</w:t>
      </w:r>
      <w:r w:rsidR="0035498F" w:rsidRPr="001123B4">
        <w:rPr>
          <w:rFonts w:ascii="Times New Roman" w:eastAsia="Times New Roman" w:hAnsi="Times New Roman" w:cs="Times New Roman"/>
          <w:sz w:val="24"/>
          <w:szCs w:val="24"/>
        </w:rPr>
        <w:t xml:space="preserve"> faculty (except instructors) are expected to provide leadership in service. Academic leadership in service involves activities such as tenured faculty mentoring tenure-eligible faculty in matters of scholarship, teaching</w:t>
      </w:r>
      <w:r w:rsidR="00667644">
        <w:rPr>
          <w:rFonts w:ascii="Times New Roman" w:eastAsia="Times New Roman" w:hAnsi="Times New Roman" w:cs="Times New Roman"/>
          <w:sz w:val="24"/>
          <w:szCs w:val="24"/>
        </w:rPr>
        <w:t>,</w:t>
      </w:r>
      <w:r w:rsidR="0035498F" w:rsidRPr="001123B4">
        <w:rPr>
          <w:rFonts w:ascii="Times New Roman" w:eastAsia="Times New Roman" w:hAnsi="Times New Roman" w:cs="Times New Roman"/>
          <w:sz w:val="24"/>
          <w:szCs w:val="24"/>
        </w:rPr>
        <w:t xml:space="preserve"> and service</w:t>
      </w:r>
      <w:r w:rsidR="00667644">
        <w:rPr>
          <w:rFonts w:ascii="Times New Roman" w:eastAsia="Times New Roman" w:hAnsi="Times New Roman" w:cs="Times New Roman"/>
          <w:sz w:val="24"/>
          <w:szCs w:val="24"/>
        </w:rPr>
        <w:t>;</w:t>
      </w:r>
      <w:r w:rsidR="0035498F" w:rsidRPr="001123B4">
        <w:rPr>
          <w:rFonts w:ascii="Times New Roman" w:eastAsia="Times New Roman" w:hAnsi="Times New Roman" w:cs="Times New Roman"/>
          <w:sz w:val="24"/>
          <w:szCs w:val="24"/>
        </w:rPr>
        <w:t xml:space="preserve"> serving as editor or as an editorial board member for a research journal</w:t>
      </w:r>
      <w:r w:rsidR="00667644">
        <w:rPr>
          <w:rFonts w:ascii="Times New Roman" w:eastAsia="Times New Roman" w:hAnsi="Times New Roman" w:cs="Times New Roman"/>
          <w:sz w:val="24"/>
          <w:szCs w:val="24"/>
        </w:rPr>
        <w:t>;</w:t>
      </w:r>
      <w:r w:rsidR="0035498F" w:rsidRPr="001123B4">
        <w:rPr>
          <w:rFonts w:ascii="Times New Roman" w:eastAsia="Times New Roman" w:hAnsi="Times New Roman" w:cs="Times New Roman"/>
          <w:sz w:val="24"/>
          <w:szCs w:val="24"/>
        </w:rPr>
        <w:t xml:space="preserve"> serving as </w:t>
      </w:r>
      <w:r w:rsidR="00413B90">
        <w:rPr>
          <w:rFonts w:ascii="Times New Roman" w:eastAsia="Times New Roman" w:hAnsi="Times New Roman" w:cs="Times New Roman"/>
          <w:sz w:val="24"/>
          <w:szCs w:val="24"/>
        </w:rPr>
        <w:t xml:space="preserve">a </w:t>
      </w:r>
      <w:r w:rsidR="0035498F" w:rsidRPr="001123B4">
        <w:rPr>
          <w:rFonts w:ascii="Times New Roman" w:eastAsia="Times New Roman" w:hAnsi="Times New Roman" w:cs="Times New Roman"/>
          <w:sz w:val="24"/>
          <w:szCs w:val="24"/>
        </w:rPr>
        <w:t>consultant in writing legislative proposals to develop</w:t>
      </w:r>
      <w:r w:rsidR="00667644">
        <w:rPr>
          <w:rFonts w:ascii="Times New Roman" w:eastAsia="Times New Roman" w:hAnsi="Times New Roman" w:cs="Times New Roman"/>
          <w:sz w:val="24"/>
          <w:szCs w:val="24"/>
        </w:rPr>
        <w:t xml:space="preserve"> or </w:t>
      </w:r>
      <w:r w:rsidR="0035498F" w:rsidRPr="001123B4">
        <w:rPr>
          <w:rFonts w:ascii="Times New Roman" w:eastAsia="Times New Roman" w:hAnsi="Times New Roman" w:cs="Times New Roman"/>
          <w:sz w:val="24"/>
          <w:szCs w:val="24"/>
        </w:rPr>
        <w:t>change policies that directly affect education</w:t>
      </w:r>
      <w:r w:rsidR="00667644">
        <w:rPr>
          <w:rFonts w:ascii="Times New Roman" w:eastAsia="Times New Roman" w:hAnsi="Times New Roman" w:cs="Times New Roman"/>
          <w:sz w:val="24"/>
          <w:szCs w:val="24"/>
        </w:rPr>
        <w:t>;</w:t>
      </w:r>
      <w:r w:rsidR="0035498F" w:rsidRPr="001123B4">
        <w:rPr>
          <w:rFonts w:ascii="Times New Roman" w:eastAsia="Times New Roman" w:hAnsi="Times New Roman" w:cs="Times New Roman"/>
          <w:sz w:val="24"/>
          <w:szCs w:val="24"/>
        </w:rPr>
        <w:t xml:space="preserve"> etc. Example contributions that may demonstrate leadership in service in MLFTC include but are not limited to leadership in: </w:t>
      </w:r>
    </w:p>
    <w:p w14:paraId="683F90E4" w14:textId="6F599B5E" w:rsidR="00752D14" w:rsidRPr="001123B4" w:rsidRDefault="0035498F">
      <w:pPr>
        <w:widowControl w:val="0"/>
        <w:numPr>
          <w:ilvl w:val="0"/>
          <w:numId w:val="6"/>
        </w:numPr>
        <w:pBdr>
          <w:top w:val="nil"/>
          <w:left w:val="nil"/>
          <w:bottom w:val="nil"/>
          <w:right w:val="nil"/>
          <w:between w:val="nil"/>
        </w:pBdr>
        <w:spacing w:line="240" w:lineRule="auto"/>
        <w:ind w:left="2160" w:right="1440" w:hanging="27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activities through committees, work groups, and so forth at the division, college, campus, and university levels, including efforts leading to the recognition of MLFTC programs </w:t>
      </w:r>
    </w:p>
    <w:p w14:paraId="69A6787B" w14:textId="5BAA5F6E" w:rsidR="00752D14" w:rsidRPr="001123B4" w:rsidRDefault="0035498F">
      <w:pPr>
        <w:widowControl w:val="0"/>
        <w:numPr>
          <w:ilvl w:val="0"/>
          <w:numId w:val="6"/>
        </w:numPr>
        <w:pBdr>
          <w:top w:val="nil"/>
          <w:left w:val="nil"/>
          <w:bottom w:val="nil"/>
          <w:right w:val="nil"/>
          <w:between w:val="nil"/>
        </w:pBdr>
        <w:spacing w:line="240" w:lineRule="auto"/>
        <w:ind w:left="2160" w:right="1440" w:hanging="27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schools and other educational agencies and organizations</w:t>
      </w:r>
    </w:p>
    <w:p w14:paraId="3268F7FA" w14:textId="422A1BA9" w:rsidR="00752D14" w:rsidRPr="001123B4" w:rsidRDefault="0035498F">
      <w:pPr>
        <w:widowControl w:val="0"/>
        <w:numPr>
          <w:ilvl w:val="0"/>
          <w:numId w:val="6"/>
        </w:numPr>
        <w:pBdr>
          <w:top w:val="nil"/>
          <w:left w:val="nil"/>
          <w:bottom w:val="nil"/>
          <w:right w:val="nil"/>
          <w:between w:val="nil"/>
        </w:pBdr>
        <w:spacing w:line="240" w:lineRule="auto"/>
        <w:ind w:left="2160" w:right="1440" w:hanging="27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highlight w:val="white"/>
        </w:rPr>
        <w:t xml:space="preserve">service that results in a substantial impact on the community, </w:t>
      </w:r>
      <w:proofErr w:type="gramStart"/>
      <w:r w:rsidRPr="001123B4">
        <w:rPr>
          <w:rFonts w:ascii="Times New Roman" w:eastAsia="Times New Roman" w:hAnsi="Times New Roman" w:cs="Times New Roman"/>
          <w:sz w:val="24"/>
          <w:szCs w:val="24"/>
          <w:highlight w:val="white"/>
        </w:rPr>
        <w:t>in particular</w:t>
      </w:r>
      <w:proofErr w:type="gramEnd"/>
      <w:r w:rsidRPr="001123B4">
        <w:rPr>
          <w:rFonts w:ascii="Times New Roman" w:eastAsia="Times New Roman" w:hAnsi="Times New Roman" w:cs="Times New Roman"/>
          <w:sz w:val="24"/>
          <w:szCs w:val="24"/>
          <w:highlight w:val="white"/>
        </w:rPr>
        <w:t xml:space="preserve"> Hispanic, black, and tribal communities, and people with disabilities among </w:t>
      </w:r>
      <w:r w:rsidR="00CA68E5" w:rsidRPr="001123B4">
        <w:rPr>
          <w:rFonts w:ascii="Times New Roman" w:eastAsia="Times New Roman" w:hAnsi="Times New Roman" w:cs="Times New Roman"/>
          <w:sz w:val="24"/>
          <w:szCs w:val="24"/>
          <w:highlight w:val="white"/>
        </w:rPr>
        <w:t>others, is</w:t>
      </w:r>
      <w:r w:rsidRPr="001123B4">
        <w:rPr>
          <w:rFonts w:ascii="Times New Roman" w:eastAsia="Times New Roman" w:hAnsi="Times New Roman" w:cs="Times New Roman"/>
          <w:sz w:val="24"/>
          <w:szCs w:val="24"/>
          <w:highlight w:val="white"/>
        </w:rPr>
        <w:t xml:space="preserve"> highly valued</w:t>
      </w:r>
      <w:r w:rsidRPr="001123B4">
        <w:rPr>
          <w:rFonts w:ascii="Times New Roman" w:eastAsia="Times New Roman" w:hAnsi="Times New Roman" w:cs="Times New Roman"/>
          <w:sz w:val="24"/>
          <w:szCs w:val="24"/>
        </w:rPr>
        <w:t xml:space="preserve"> </w:t>
      </w:r>
    </w:p>
    <w:p w14:paraId="158BF113" w14:textId="36738411" w:rsidR="00893376" w:rsidRDefault="00893376">
      <w:pPr>
        <w:widowControl w:val="0"/>
        <w:numPr>
          <w:ilvl w:val="0"/>
          <w:numId w:val="6"/>
        </w:numPr>
        <w:pBdr>
          <w:top w:val="nil"/>
          <w:left w:val="nil"/>
          <w:bottom w:val="nil"/>
          <w:right w:val="nil"/>
          <w:between w:val="nil"/>
        </w:pBdr>
        <w:spacing w:line="240" w:lineRule="auto"/>
        <w:ind w:left="2160" w:right="144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in </w:t>
      </w:r>
      <w:r w:rsidR="0035498F" w:rsidRPr="001123B4">
        <w:rPr>
          <w:rFonts w:ascii="Times New Roman" w:eastAsia="Times New Roman" w:hAnsi="Times New Roman" w:cs="Times New Roman"/>
          <w:sz w:val="24"/>
          <w:szCs w:val="24"/>
        </w:rPr>
        <w:t>local, national</w:t>
      </w:r>
      <w:r w:rsidR="00413B90">
        <w:rPr>
          <w:rFonts w:ascii="Times New Roman" w:eastAsia="Times New Roman" w:hAnsi="Times New Roman" w:cs="Times New Roman"/>
          <w:sz w:val="24"/>
          <w:szCs w:val="24"/>
        </w:rPr>
        <w:t>,</w:t>
      </w:r>
      <w:r w:rsidR="0035498F" w:rsidRPr="001123B4">
        <w:rPr>
          <w:rFonts w:ascii="Times New Roman" w:eastAsia="Times New Roman" w:hAnsi="Times New Roman" w:cs="Times New Roman"/>
          <w:sz w:val="24"/>
          <w:szCs w:val="24"/>
        </w:rPr>
        <w:t xml:space="preserve"> and international professional associations</w:t>
      </w:r>
    </w:p>
    <w:p w14:paraId="7D26EBEB" w14:textId="77777777" w:rsidR="00667644" w:rsidRPr="001123B4" w:rsidRDefault="00667644" w:rsidP="00667644">
      <w:pPr>
        <w:widowControl w:val="0"/>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p>
    <w:p w14:paraId="4E013BDD" w14:textId="712F6AC1" w:rsidR="00752D14" w:rsidRDefault="0035498F" w:rsidP="00667644">
      <w:pPr>
        <w:widowControl w:val="0"/>
        <w:pBdr>
          <w:top w:val="nil"/>
          <w:left w:val="nil"/>
          <w:bottom w:val="nil"/>
          <w:right w:val="nil"/>
          <w:between w:val="nil"/>
        </w:pBdr>
        <w:spacing w:line="240" w:lineRule="auto"/>
        <w:ind w:left="720" w:right="1440" w:firstLine="720"/>
        <w:rPr>
          <w:rFonts w:ascii="Times New Roman" w:eastAsia="Times New Roman" w:hAnsi="Times New Roman" w:cs="Times New Roman"/>
          <w:color w:val="000000"/>
          <w:sz w:val="24"/>
          <w:szCs w:val="24"/>
        </w:rPr>
      </w:pPr>
      <w:r w:rsidRPr="001123B4">
        <w:rPr>
          <w:rFonts w:ascii="Times New Roman" w:eastAsia="Times New Roman" w:hAnsi="Times New Roman" w:cs="Times New Roman"/>
          <w:sz w:val="24"/>
          <w:szCs w:val="24"/>
        </w:rPr>
        <w:t>Evidence for</w:t>
      </w:r>
      <w:r>
        <w:rPr>
          <w:rFonts w:ascii="Times New Roman" w:eastAsia="Times New Roman" w:hAnsi="Times New Roman" w:cs="Times New Roman"/>
          <w:color w:val="000000"/>
          <w:sz w:val="24"/>
          <w:szCs w:val="24"/>
        </w:rPr>
        <w:t xml:space="preserve"> service quality </w:t>
      </w:r>
      <w:r>
        <w:rPr>
          <w:rFonts w:ascii="Times New Roman" w:eastAsia="Times New Roman" w:hAnsi="Times New Roman" w:cs="Times New Roman"/>
          <w:sz w:val="24"/>
          <w:szCs w:val="24"/>
        </w:rPr>
        <w:t xml:space="preserve">may </w:t>
      </w:r>
      <w:r>
        <w:rPr>
          <w:rFonts w:ascii="Times New Roman" w:eastAsia="Times New Roman" w:hAnsi="Times New Roman" w:cs="Times New Roman"/>
          <w:color w:val="000000"/>
          <w:sz w:val="24"/>
          <w:szCs w:val="24"/>
        </w:rPr>
        <w:t xml:space="preserve">include but is not limited to: </w:t>
      </w:r>
    </w:p>
    <w:p w14:paraId="20625DD6" w14:textId="101E5087" w:rsidR="00752D14" w:rsidRDefault="0035498F">
      <w:pPr>
        <w:widowControl w:val="0"/>
        <w:numPr>
          <w:ilvl w:val="0"/>
          <w:numId w:val="8"/>
        </w:numPr>
        <w:pBdr>
          <w:top w:val="nil"/>
          <w:left w:val="nil"/>
          <w:bottom w:val="nil"/>
          <w:right w:val="nil"/>
          <w:between w:val="nil"/>
        </w:pBdr>
        <w:spacing w:line="240" w:lineRule="auto"/>
        <w:ind w:left="2160" w:right="144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Culminations or products with the </w:t>
      </w:r>
      <w:r w:rsidR="00667644">
        <w:rPr>
          <w:rFonts w:ascii="Times New Roman" w:eastAsia="Times New Roman" w:hAnsi="Times New Roman" w:cs="Times New Roman"/>
          <w:color w:val="000000"/>
          <w:sz w:val="24"/>
          <w:szCs w:val="24"/>
        </w:rPr>
        <w:t>persons’</w:t>
      </w:r>
      <w:r>
        <w:rPr>
          <w:rFonts w:ascii="Times New Roman" w:eastAsia="Times New Roman" w:hAnsi="Times New Roman" w:cs="Times New Roman"/>
          <w:color w:val="000000"/>
          <w:sz w:val="24"/>
          <w:szCs w:val="24"/>
        </w:rPr>
        <w:t xml:space="preserve"> contribution</w:t>
      </w:r>
      <w:r w:rsidR="0066764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clearly delineated</w:t>
      </w:r>
    </w:p>
    <w:p w14:paraId="78B69855" w14:textId="77777777" w:rsidR="00752D14" w:rsidRDefault="0035498F">
      <w:pPr>
        <w:widowControl w:val="0"/>
        <w:numPr>
          <w:ilvl w:val="0"/>
          <w:numId w:val="8"/>
        </w:numPr>
        <w:pBdr>
          <w:top w:val="nil"/>
          <w:left w:val="nil"/>
          <w:bottom w:val="nil"/>
          <w:right w:val="nil"/>
          <w:between w:val="nil"/>
        </w:pBdr>
        <w:spacing w:line="240" w:lineRule="auto"/>
        <w:ind w:left="2160" w:right="144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Letters of appointment to leadership positions </w:t>
      </w:r>
    </w:p>
    <w:p w14:paraId="0FFEDA8F" w14:textId="47D679BA" w:rsidR="00752D14" w:rsidRDefault="0035498F">
      <w:pPr>
        <w:widowControl w:val="0"/>
        <w:numPr>
          <w:ilvl w:val="0"/>
          <w:numId w:val="8"/>
        </w:numPr>
        <w:pBdr>
          <w:top w:val="nil"/>
          <w:left w:val="nil"/>
          <w:bottom w:val="nil"/>
          <w:right w:val="nil"/>
          <w:between w:val="nil"/>
        </w:pBdr>
        <w:spacing w:line="240" w:lineRule="auto"/>
        <w:ind w:left="2160" w:right="144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Letters from </w:t>
      </w:r>
      <w:r w:rsidRPr="00A5246B">
        <w:rPr>
          <w:rFonts w:ascii="Times New Roman" w:eastAsia="Times New Roman" w:hAnsi="Times New Roman" w:cs="Times New Roman"/>
          <w:color w:val="000000" w:themeColor="text1"/>
          <w:sz w:val="24"/>
          <w:szCs w:val="24"/>
        </w:rPr>
        <w:t>committee</w:t>
      </w:r>
      <w:r w:rsidR="00667644" w:rsidRPr="00A5246B">
        <w:rPr>
          <w:rFonts w:ascii="Times New Roman" w:eastAsia="Times New Roman" w:hAnsi="Times New Roman" w:cs="Times New Roman"/>
          <w:color w:val="000000" w:themeColor="text1"/>
          <w:sz w:val="24"/>
          <w:szCs w:val="24"/>
        </w:rPr>
        <w:t xml:space="preserve"> leaders,</w:t>
      </w:r>
      <w:r w:rsidRPr="00A524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vice deans, deans, or knowledgeable others that describe specific </w:t>
      </w:r>
      <w:r w:rsidR="00667644">
        <w:rPr>
          <w:rFonts w:ascii="Times New Roman" w:eastAsia="Times New Roman" w:hAnsi="Times New Roman" w:cs="Times New Roman"/>
          <w:color w:val="000000"/>
          <w:sz w:val="24"/>
          <w:szCs w:val="24"/>
        </w:rPr>
        <w:t xml:space="preserve">service </w:t>
      </w:r>
      <w:r>
        <w:rPr>
          <w:rFonts w:ascii="Times New Roman" w:eastAsia="Times New Roman" w:hAnsi="Times New Roman" w:cs="Times New Roman"/>
          <w:color w:val="000000"/>
          <w:sz w:val="24"/>
          <w:szCs w:val="24"/>
        </w:rPr>
        <w:t>contributions</w:t>
      </w:r>
    </w:p>
    <w:p w14:paraId="3F136628" w14:textId="77777777" w:rsidR="00752D14" w:rsidRDefault="0035498F">
      <w:pPr>
        <w:widowControl w:val="0"/>
        <w:numPr>
          <w:ilvl w:val="0"/>
          <w:numId w:val="8"/>
        </w:numPr>
        <w:pBdr>
          <w:top w:val="nil"/>
          <w:left w:val="nil"/>
          <w:bottom w:val="nil"/>
          <w:right w:val="nil"/>
          <w:between w:val="nil"/>
        </w:pBdr>
        <w:spacing w:line="240" w:lineRule="auto"/>
        <w:ind w:left="2160" w:right="144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of awards or recognition for service</w:t>
      </w:r>
    </w:p>
    <w:p w14:paraId="6642EDF0"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0AEEF1F" w14:textId="68FE2BA2"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See also: </w:t>
      </w:r>
      <w:hyperlink r:id="rId37" w:history="1">
        <w:r w:rsidRPr="0012306B">
          <w:rPr>
            <w:rStyle w:val="Hyperlink"/>
            <w:rFonts w:ascii="Times New Roman" w:eastAsia="Times New Roman" w:hAnsi="Times New Roman" w:cs="Times New Roman"/>
            <w:sz w:val="24"/>
            <w:szCs w:val="24"/>
          </w:rPr>
          <w:t>ACD 202–01: Faculty Responsibilities</w:t>
        </w:r>
      </w:hyperlink>
      <w:r>
        <w:rPr>
          <w:rFonts w:ascii="Times New Roman" w:eastAsia="Times New Roman" w:hAnsi="Times New Roman" w:cs="Times New Roman"/>
          <w:color w:val="000000"/>
          <w:sz w:val="24"/>
          <w:szCs w:val="24"/>
        </w:rPr>
        <w:t xml:space="preserve">; </w:t>
      </w:r>
      <w:hyperlink r:id="rId38" w:history="1">
        <w:r w:rsidRPr="0012306B">
          <w:rPr>
            <w:rStyle w:val="Hyperlink"/>
            <w:rFonts w:ascii="Times New Roman" w:eastAsia="Times New Roman" w:hAnsi="Times New Roman" w:cs="Times New Roman"/>
            <w:sz w:val="24"/>
            <w:szCs w:val="24"/>
          </w:rPr>
          <w:t>ACD 305–11 - Commencement</w:t>
        </w:r>
      </w:hyperlink>
      <w:r>
        <w:rPr>
          <w:rFonts w:ascii="Times New Roman" w:eastAsia="Times New Roman" w:hAnsi="Times New Roman" w:cs="Times New Roman"/>
          <w:color w:val="000000"/>
          <w:sz w:val="24"/>
          <w:szCs w:val="24"/>
        </w:rPr>
        <w:t xml:space="preserve">; </w:t>
      </w:r>
      <w:hyperlink r:id="rId39" w:history="1">
        <w:r w:rsidRPr="0012306B">
          <w:rPr>
            <w:rStyle w:val="Hyperlink"/>
            <w:rFonts w:ascii="Times New Roman" w:eastAsia="Times New Roman" w:hAnsi="Times New Roman" w:cs="Times New Roman"/>
            <w:sz w:val="24"/>
            <w:szCs w:val="24"/>
          </w:rPr>
          <w:t>ACD 506–05 - Faculty Promotion</w:t>
        </w:r>
      </w:hyperlink>
      <w:r>
        <w:rPr>
          <w:rFonts w:ascii="Times New Roman" w:eastAsia="Times New Roman" w:hAnsi="Times New Roman" w:cs="Times New Roman"/>
          <w:color w:val="000000"/>
          <w:sz w:val="24"/>
          <w:szCs w:val="24"/>
        </w:rPr>
        <w:t xml:space="preserve">; </w:t>
      </w:r>
      <w:hyperlink r:id="rId40" w:history="1">
        <w:r w:rsidRPr="0012306B">
          <w:rPr>
            <w:rStyle w:val="Hyperlink"/>
            <w:rFonts w:ascii="Times New Roman" w:eastAsia="Times New Roman" w:hAnsi="Times New Roman" w:cs="Times New Roman"/>
            <w:sz w:val="24"/>
            <w:szCs w:val="24"/>
          </w:rPr>
          <w:t xml:space="preserve">ACD 510–01 - Notification of Consulting or Other Outside Business </w:t>
        </w:r>
        <w:r w:rsidR="00893376" w:rsidRPr="0012306B">
          <w:rPr>
            <w:rStyle w:val="Hyperlink"/>
            <w:rFonts w:ascii="Times New Roman" w:eastAsia="Times New Roman" w:hAnsi="Times New Roman" w:cs="Times New Roman"/>
            <w:sz w:val="24"/>
            <w:szCs w:val="24"/>
          </w:rPr>
          <w:t>Activities or</w:t>
        </w:r>
        <w:r w:rsidRPr="0012306B">
          <w:rPr>
            <w:rStyle w:val="Hyperlink"/>
            <w:rFonts w:ascii="Times New Roman" w:eastAsia="Times New Roman" w:hAnsi="Times New Roman" w:cs="Times New Roman"/>
            <w:sz w:val="24"/>
            <w:szCs w:val="24"/>
          </w:rPr>
          <w:t xml:space="preserve"> Arrangements for Faculty and Academic Professionals</w:t>
        </w:r>
      </w:hyperlink>
      <w:r>
        <w:rPr>
          <w:rFonts w:ascii="Times New Roman" w:eastAsia="Times New Roman" w:hAnsi="Times New Roman" w:cs="Times New Roman"/>
          <w:color w:val="0000FF"/>
          <w:sz w:val="24"/>
          <w:szCs w:val="24"/>
        </w:rPr>
        <w:t xml:space="preserve"> </w:t>
      </w:r>
    </w:p>
    <w:p w14:paraId="0A70DFD0" w14:textId="77777777" w:rsidR="00667644" w:rsidRDefault="0066764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p>
    <w:p w14:paraId="4218576C" w14:textId="69D67113" w:rsidR="00752D14" w:rsidRDefault="0035498F" w:rsidP="0017430C">
      <w:pPr>
        <w:pStyle w:val="Heading1"/>
        <w:spacing w:before="0" w:after="0" w:line="240" w:lineRule="auto"/>
        <w:ind w:left="1440" w:right="1440"/>
        <w:rPr>
          <w:rFonts w:ascii="Times New Roman" w:eastAsia="Times New Roman" w:hAnsi="Times New Roman" w:cs="Times New Roman"/>
        </w:rPr>
      </w:pPr>
      <w:bookmarkStart w:id="17" w:name="_2xcytpi" w:colFirst="0" w:colLast="0"/>
      <w:bookmarkEnd w:id="17"/>
      <w:r>
        <w:rPr>
          <w:rFonts w:ascii="Times New Roman" w:eastAsia="Times New Roman" w:hAnsi="Times New Roman" w:cs="Times New Roman"/>
        </w:rPr>
        <w:t>3.0 Evaluation</w:t>
      </w:r>
    </w:p>
    <w:p w14:paraId="636361EF" w14:textId="77777777" w:rsidR="00667644" w:rsidRDefault="0066764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3ADE97F0" w14:textId="2381BD26" w:rsidR="00752D14" w:rsidRDefault="0066764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in t</w:t>
      </w:r>
      <w:r w:rsidR="0035498F" w:rsidRPr="001123B4">
        <w:rPr>
          <w:rFonts w:ascii="Times New Roman" w:eastAsia="Times New Roman" w:hAnsi="Times New Roman" w:cs="Times New Roman"/>
          <w:sz w:val="24"/>
          <w:szCs w:val="24"/>
        </w:rPr>
        <w:t xml:space="preserve">his section </w:t>
      </w:r>
      <w:r>
        <w:rPr>
          <w:rFonts w:ascii="Times New Roman" w:eastAsia="Times New Roman" w:hAnsi="Times New Roman" w:cs="Times New Roman"/>
          <w:sz w:val="24"/>
          <w:szCs w:val="24"/>
        </w:rPr>
        <w:t>are</w:t>
      </w:r>
      <w:r w:rsidR="0035498F" w:rsidRPr="001123B4">
        <w:rPr>
          <w:rFonts w:ascii="Times New Roman" w:eastAsia="Times New Roman" w:hAnsi="Times New Roman" w:cs="Times New Roman"/>
          <w:sz w:val="24"/>
          <w:szCs w:val="24"/>
        </w:rPr>
        <w:t xml:space="preserve"> the procedures for each personnel action in MLFTC for faculty members with appointments of 50% </w:t>
      </w:r>
      <w:r w:rsidR="00C91CBC">
        <w:rPr>
          <w:rFonts w:ascii="Times New Roman" w:eastAsia="Times New Roman" w:hAnsi="Times New Roman" w:cs="Times New Roman"/>
          <w:sz w:val="24"/>
          <w:szCs w:val="24"/>
          <w:lang w:val="en"/>
        </w:rPr>
        <w:t>f</w:t>
      </w:r>
      <w:r w:rsidR="00C91CBC" w:rsidRPr="00C91CBC">
        <w:rPr>
          <w:rFonts w:ascii="Times New Roman" w:eastAsia="Times New Roman" w:hAnsi="Times New Roman" w:cs="Times New Roman"/>
          <w:sz w:val="24"/>
          <w:szCs w:val="24"/>
          <w:lang w:val="en"/>
        </w:rPr>
        <w:t>ull-</w:t>
      </w:r>
      <w:r w:rsidR="00C91CBC" w:rsidRPr="008768A2">
        <w:rPr>
          <w:rFonts w:ascii="Times New Roman" w:eastAsia="Times New Roman" w:hAnsi="Times New Roman" w:cs="Times New Roman"/>
          <w:color w:val="000000" w:themeColor="text1"/>
          <w:sz w:val="24"/>
          <w:szCs w:val="24"/>
          <w:lang w:val="en"/>
        </w:rPr>
        <w:t>time equivalent (</w:t>
      </w:r>
      <w:r w:rsidR="0035498F" w:rsidRPr="008768A2">
        <w:rPr>
          <w:rFonts w:ascii="Times New Roman" w:eastAsia="Times New Roman" w:hAnsi="Times New Roman" w:cs="Times New Roman"/>
          <w:color w:val="000000" w:themeColor="text1"/>
          <w:sz w:val="24"/>
          <w:szCs w:val="24"/>
        </w:rPr>
        <w:t>FTE</w:t>
      </w:r>
      <w:r w:rsidR="00C91CBC" w:rsidRPr="008768A2">
        <w:rPr>
          <w:rFonts w:ascii="Times New Roman" w:eastAsia="Times New Roman" w:hAnsi="Times New Roman" w:cs="Times New Roman"/>
          <w:color w:val="000000" w:themeColor="text1"/>
          <w:sz w:val="24"/>
          <w:szCs w:val="24"/>
        </w:rPr>
        <w:t>)</w:t>
      </w:r>
      <w:r w:rsidR="0035498F" w:rsidRPr="008768A2">
        <w:rPr>
          <w:rFonts w:ascii="Times New Roman" w:eastAsia="Times New Roman" w:hAnsi="Times New Roman" w:cs="Times New Roman"/>
          <w:color w:val="000000" w:themeColor="text1"/>
          <w:sz w:val="24"/>
          <w:szCs w:val="24"/>
        </w:rPr>
        <w:t xml:space="preserve"> or greater</w:t>
      </w:r>
      <w:r w:rsidR="00C91CBC" w:rsidRPr="008768A2">
        <w:rPr>
          <w:rFonts w:ascii="Times New Roman" w:eastAsia="Times New Roman" w:hAnsi="Times New Roman" w:cs="Times New Roman"/>
          <w:color w:val="000000" w:themeColor="text1"/>
          <w:sz w:val="24"/>
          <w:szCs w:val="24"/>
        </w:rPr>
        <w:t>. A</w:t>
      </w:r>
      <w:r w:rsidR="00B96993" w:rsidRPr="008768A2">
        <w:rPr>
          <w:rFonts w:ascii="Times New Roman" w:eastAsia="Times New Roman" w:hAnsi="Times New Roman" w:cs="Times New Roman"/>
          <w:color w:val="000000" w:themeColor="text1"/>
          <w:sz w:val="24"/>
          <w:szCs w:val="24"/>
        </w:rPr>
        <w:t>gain, a</w:t>
      </w:r>
      <w:r w:rsidR="00893376" w:rsidRPr="008768A2">
        <w:rPr>
          <w:rFonts w:ascii="Times New Roman" w:eastAsia="Times New Roman" w:hAnsi="Times New Roman" w:cs="Times New Roman"/>
          <w:color w:val="000000" w:themeColor="text1"/>
          <w:sz w:val="24"/>
          <w:szCs w:val="24"/>
        </w:rPr>
        <w:t>cademic professionals</w:t>
      </w:r>
      <w:r w:rsidR="00C91CBC" w:rsidRPr="008768A2">
        <w:rPr>
          <w:rFonts w:ascii="Times New Roman" w:eastAsia="Times New Roman" w:hAnsi="Times New Roman" w:cs="Times New Roman"/>
          <w:color w:val="000000" w:themeColor="text1"/>
          <w:sz w:val="24"/>
          <w:szCs w:val="24"/>
        </w:rPr>
        <w:t xml:space="preserve"> are evaluated </w:t>
      </w:r>
      <w:r w:rsidR="00C93481" w:rsidRPr="008768A2">
        <w:rPr>
          <w:rFonts w:ascii="Times New Roman" w:eastAsia="Times New Roman" w:hAnsi="Times New Roman" w:cs="Times New Roman"/>
          <w:color w:val="000000" w:themeColor="text1"/>
          <w:sz w:val="24"/>
          <w:szCs w:val="24"/>
        </w:rPr>
        <w:t xml:space="preserve">by their unit supervisors. The specific evaluation processes and </w:t>
      </w:r>
      <w:r w:rsidR="00C93481" w:rsidRPr="008768A2">
        <w:rPr>
          <w:rFonts w:ascii="Times New Roman" w:eastAsia="Times New Roman" w:hAnsi="Times New Roman" w:cs="Times New Roman"/>
          <w:color w:val="000000" w:themeColor="text1"/>
          <w:sz w:val="24"/>
          <w:szCs w:val="24"/>
        </w:rPr>
        <w:lastRenderedPageBreak/>
        <w:t>criteria for academic professionals vary by position and unit and should be documented for each</w:t>
      </w:r>
      <w:r w:rsidR="00FA7D8E" w:rsidRPr="008768A2">
        <w:rPr>
          <w:rFonts w:ascii="Times New Roman" w:eastAsia="Times New Roman" w:hAnsi="Times New Roman" w:cs="Times New Roman"/>
          <w:color w:val="000000" w:themeColor="text1"/>
          <w:sz w:val="24"/>
          <w:szCs w:val="24"/>
        </w:rPr>
        <w:t xml:space="preserve"> </w:t>
      </w:r>
      <w:r w:rsidR="007271FE" w:rsidRPr="008768A2">
        <w:rPr>
          <w:rFonts w:ascii="Times New Roman" w:eastAsia="Times New Roman" w:hAnsi="Times New Roman" w:cs="Times New Roman"/>
          <w:color w:val="000000" w:themeColor="text1"/>
          <w:sz w:val="24"/>
          <w:szCs w:val="24"/>
        </w:rPr>
        <w:t>academic professional</w:t>
      </w:r>
      <w:r w:rsidR="00C93481" w:rsidRPr="008768A2">
        <w:rPr>
          <w:rFonts w:ascii="Times New Roman" w:eastAsia="Times New Roman" w:hAnsi="Times New Roman" w:cs="Times New Roman"/>
          <w:color w:val="000000" w:themeColor="text1"/>
          <w:sz w:val="24"/>
          <w:szCs w:val="24"/>
        </w:rPr>
        <w:t xml:space="preserve"> in their personnel records. </w:t>
      </w:r>
    </w:p>
    <w:p w14:paraId="003AA251" w14:textId="77777777" w:rsidR="00667644" w:rsidRPr="001123B4" w:rsidRDefault="0066764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08779387" w14:textId="1B536856"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18" w:name="_1ci93xb" w:colFirst="0" w:colLast="0"/>
      <w:bookmarkEnd w:id="18"/>
      <w:r>
        <w:rPr>
          <w:rFonts w:ascii="Times New Roman" w:eastAsia="Times New Roman" w:hAnsi="Times New Roman" w:cs="Times New Roman"/>
        </w:rPr>
        <w:t>3.1 Annual Goals</w:t>
      </w:r>
    </w:p>
    <w:p w14:paraId="7AAC0279" w14:textId="77777777" w:rsidR="00067F48" w:rsidRDefault="00067F48" w:rsidP="0017430C">
      <w:pPr>
        <w:widowControl w:val="0"/>
        <w:spacing w:line="240" w:lineRule="auto"/>
        <w:ind w:left="1440" w:right="1440"/>
        <w:rPr>
          <w:rFonts w:ascii="Times New Roman" w:eastAsia="Times New Roman" w:hAnsi="Times New Roman" w:cs="Times New Roman"/>
          <w:sz w:val="24"/>
          <w:szCs w:val="24"/>
        </w:rPr>
      </w:pPr>
    </w:p>
    <w:p w14:paraId="6E636480" w14:textId="00BE9DAE" w:rsidR="00752D14"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On or before December 31</w:t>
      </w:r>
      <w:r w:rsidRPr="00067F48">
        <w:rPr>
          <w:rFonts w:ascii="Times New Roman" w:eastAsia="Times New Roman" w:hAnsi="Times New Roman" w:cs="Times New Roman"/>
          <w:sz w:val="24"/>
          <w:szCs w:val="24"/>
          <w:vertAlign w:val="superscript"/>
        </w:rPr>
        <w:t>st</w:t>
      </w:r>
      <w:r w:rsidR="00067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every year, faculty members</w:t>
      </w:r>
      <w:r w:rsidR="00B96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must recommend to </w:t>
      </w:r>
      <w:r w:rsidRPr="001123B4">
        <w:rPr>
          <w:rFonts w:ascii="Times New Roman" w:eastAsia="Times New Roman" w:hAnsi="Times New Roman" w:cs="Times New Roman"/>
          <w:sz w:val="24"/>
          <w:szCs w:val="24"/>
        </w:rPr>
        <w:t xml:space="preserve">their vice dean </w:t>
      </w:r>
      <w:r>
        <w:rPr>
          <w:rFonts w:ascii="Times New Roman" w:eastAsia="Times New Roman" w:hAnsi="Times New Roman" w:cs="Times New Roman"/>
          <w:sz w:val="24"/>
          <w:szCs w:val="24"/>
        </w:rPr>
        <w:t xml:space="preserve">annual goals for the coming year. Recommended goals should be appropriate to the terms of the faculty member's annual workload assignment and aligned with </w:t>
      </w:r>
      <w:r w:rsidR="006241DB">
        <w:rPr>
          <w:rFonts w:ascii="Times New Roman" w:eastAsia="Times New Roman" w:hAnsi="Times New Roman" w:cs="Times New Roman"/>
          <w:sz w:val="24"/>
          <w:szCs w:val="24"/>
        </w:rPr>
        <w:t>MLFTC’s</w:t>
      </w:r>
      <w:r>
        <w:rPr>
          <w:rFonts w:ascii="Times New Roman" w:eastAsia="Times New Roman" w:hAnsi="Times New Roman" w:cs="Times New Roman"/>
          <w:sz w:val="24"/>
          <w:szCs w:val="24"/>
        </w:rPr>
        <w:t xml:space="preserve"> SoA</w:t>
      </w:r>
      <w:r w:rsidR="006241D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7613871F"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66339D95" w14:textId="169D7C8E"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recommended annual goals must include goals in scholarship, teaching</w:t>
      </w:r>
      <w:r w:rsidR="006241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service (as appropriate to the job description and as aligned with the </w:t>
      </w:r>
      <w:r w:rsidRPr="00A5246B">
        <w:rPr>
          <w:rFonts w:ascii="Times New Roman" w:eastAsia="Times New Roman" w:hAnsi="Times New Roman" w:cs="Times New Roman"/>
          <w:color w:val="000000" w:themeColor="text1"/>
          <w:sz w:val="24"/>
          <w:szCs w:val="24"/>
        </w:rPr>
        <w:t xml:space="preserve">corresponding </w:t>
      </w:r>
      <w:r w:rsidR="006241DB" w:rsidRPr="00A5246B">
        <w:rPr>
          <w:rFonts w:ascii="Times New Roman" w:eastAsia="Times New Roman" w:hAnsi="Times New Roman" w:cs="Times New Roman"/>
          <w:color w:val="000000" w:themeColor="text1"/>
          <w:sz w:val="24"/>
          <w:szCs w:val="24"/>
        </w:rPr>
        <w:t xml:space="preserve">definitions and </w:t>
      </w:r>
      <w:r>
        <w:rPr>
          <w:rFonts w:ascii="Times New Roman" w:eastAsia="Times New Roman" w:hAnsi="Times New Roman" w:cs="Times New Roman"/>
          <w:color w:val="000000"/>
          <w:sz w:val="24"/>
          <w:szCs w:val="24"/>
        </w:rPr>
        <w:t>sections above), as well as suggested indicators of success for each stated go</w:t>
      </w:r>
      <w:r w:rsidRPr="001123B4">
        <w:rPr>
          <w:rFonts w:ascii="Times New Roman" w:eastAsia="Times New Roman" w:hAnsi="Times New Roman" w:cs="Times New Roman"/>
          <w:sz w:val="24"/>
          <w:szCs w:val="24"/>
        </w:rPr>
        <w:t>al. Vice deans have the final authority on determining acceptable goals, and the vice dean’s approval of annual goals is based on the degree to which faculty members’ proposed goals align with the SoA</w:t>
      </w:r>
      <w:r w:rsidR="006241DB">
        <w:rPr>
          <w:rFonts w:ascii="Times New Roman" w:eastAsia="Times New Roman" w:hAnsi="Times New Roman" w:cs="Times New Roman"/>
          <w:sz w:val="24"/>
          <w:szCs w:val="24"/>
        </w:rPr>
        <w:t>s</w:t>
      </w:r>
      <w:r w:rsidRPr="001123B4">
        <w:rPr>
          <w:rFonts w:ascii="Times New Roman" w:eastAsia="Times New Roman" w:hAnsi="Times New Roman" w:cs="Times New Roman"/>
          <w:sz w:val="24"/>
          <w:szCs w:val="24"/>
        </w:rPr>
        <w:t xml:space="preserve"> and reflect</w:t>
      </w:r>
      <w:r w:rsidR="00413B90">
        <w:rPr>
          <w:rFonts w:ascii="Times New Roman" w:eastAsia="Times New Roman" w:hAnsi="Times New Roman" w:cs="Times New Roman"/>
          <w:sz w:val="24"/>
          <w:szCs w:val="24"/>
        </w:rPr>
        <w:t xml:space="preserve"> the</w:t>
      </w:r>
      <w:r w:rsidRPr="001123B4">
        <w:rPr>
          <w:rFonts w:ascii="Times New Roman" w:eastAsia="Times New Roman" w:hAnsi="Times New Roman" w:cs="Times New Roman"/>
          <w:sz w:val="24"/>
          <w:szCs w:val="24"/>
        </w:rPr>
        <w:t xml:space="preserve"> allocation of effort that is in alignment with division and college goals. Faculty members are encouraged to work closely with their vice dean on setting goals, but the vice dean has the ultimate responsibility of determining those goals. Once approved, the vice dean will sign the faculty member's goals, keep them on file, and share the signed document with the faculty member for use during the annual evaluation. Faculty </w:t>
      </w:r>
      <w:proofErr w:type="gramStart"/>
      <w:r w:rsidRPr="001123B4">
        <w:rPr>
          <w:rFonts w:ascii="Times New Roman" w:eastAsia="Times New Roman" w:hAnsi="Times New Roman" w:cs="Times New Roman"/>
          <w:sz w:val="24"/>
          <w:szCs w:val="24"/>
        </w:rPr>
        <w:t>are</w:t>
      </w:r>
      <w:proofErr w:type="gramEnd"/>
      <w:r w:rsidRPr="001123B4">
        <w:rPr>
          <w:rFonts w:ascii="Times New Roman" w:eastAsia="Times New Roman" w:hAnsi="Times New Roman" w:cs="Times New Roman"/>
          <w:sz w:val="24"/>
          <w:szCs w:val="24"/>
        </w:rPr>
        <w:t xml:space="preserve"> responsible for keeping a copy of these goals.</w:t>
      </w:r>
    </w:p>
    <w:p w14:paraId="46EA35B1" w14:textId="77777777" w:rsidR="006241DB" w:rsidRDefault="006241D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65313791" w14:textId="77777777"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Faculty members must indicate how they addressed their goals at the end of every year as part of their annual performance evaluation (see Section 2.2). </w:t>
      </w:r>
    </w:p>
    <w:p w14:paraId="2FA38C4A" w14:textId="77777777" w:rsidR="001B2A87" w:rsidRDefault="001B2A87"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2C2D98BC" w14:textId="6D0EAEA9"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See also </w:t>
      </w:r>
      <w:hyperlink r:id="rId41">
        <w:r w:rsidRPr="00EE3450">
          <w:rPr>
            <w:rFonts w:ascii="Times New Roman" w:eastAsia="Times New Roman" w:hAnsi="Times New Roman" w:cs="Times New Roman"/>
            <w:color w:val="0000FF"/>
            <w:sz w:val="24"/>
            <w:szCs w:val="24"/>
            <w:u w:val="single"/>
          </w:rPr>
          <w:t>ACD 506-10: Annual Evaluations of Faculty</w:t>
        </w:r>
      </w:hyperlink>
    </w:p>
    <w:p w14:paraId="6C491CB7" w14:textId="77777777" w:rsidR="00752D14" w:rsidRPr="006241DB"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t>
      </w:r>
    </w:p>
    <w:p w14:paraId="4BDF9011" w14:textId="77777777"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19" w:name="_3whwml4" w:colFirst="0" w:colLast="0"/>
      <w:bookmarkEnd w:id="19"/>
      <w:r>
        <w:rPr>
          <w:rFonts w:ascii="Times New Roman" w:eastAsia="Times New Roman" w:hAnsi="Times New Roman" w:cs="Times New Roman"/>
        </w:rPr>
        <w:t xml:space="preserve">3.2 Annual Performance Evaluation  </w:t>
      </w:r>
    </w:p>
    <w:p w14:paraId="3A705188" w14:textId="77777777" w:rsidR="006241DB" w:rsidRDefault="006241D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5AA6B21E" w14:textId="2BB3BC95" w:rsidR="00752D14" w:rsidRPr="001123B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compliance with ABOR and ASU’s ACD procedures, on or befo</w:t>
      </w:r>
      <w:r w:rsidRPr="001123B4">
        <w:rPr>
          <w:rFonts w:ascii="Times New Roman" w:eastAsia="Times New Roman" w:hAnsi="Times New Roman" w:cs="Times New Roman"/>
          <w:sz w:val="24"/>
          <w:szCs w:val="24"/>
        </w:rPr>
        <w:t xml:space="preserve">re </w:t>
      </w:r>
      <w:r w:rsidRPr="001123B4">
        <w:rPr>
          <w:rFonts w:ascii="Times New Roman" w:eastAsia="Times New Roman" w:hAnsi="Times New Roman" w:cs="Times New Roman"/>
          <w:sz w:val="24"/>
          <w:szCs w:val="24"/>
          <w:highlight w:val="white"/>
        </w:rPr>
        <w:t xml:space="preserve">the last Friday of January, </w:t>
      </w:r>
      <w:r w:rsidRPr="001123B4">
        <w:rPr>
          <w:rFonts w:ascii="Times New Roman" w:eastAsia="Times New Roman" w:hAnsi="Times New Roman" w:cs="Times New Roman"/>
          <w:sz w:val="24"/>
          <w:szCs w:val="24"/>
        </w:rPr>
        <w:t>faculty members</w:t>
      </w:r>
      <w:r w:rsidR="00B96993">
        <w:rPr>
          <w:rFonts w:ascii="Times New Roman" w:eastAsia="Times New Roman" w:hAnsi="Times New Roman" w:cs="Times New Roman"/>
          <w:sz w:val="24"/>
          <w:szCs w:val="24"/>
        </w:rPr>
        <w:t xml:space="preserve"> </w:t>
      </w:r>
      <w:r w:rsidRPr="001123B4">
        <w:rPr>
          <w:rFonts w:ascii="Times New Roman" w:eastAsia="Times New Roman" w:hAnsi="Times New Roman" w:cs="Times New Roman"/>
          <w:sz w:val="24"/>
          <w:szCs w:val="24"/>
        </w:rPr>
        <w:t>must submit their portfolio materials for their annual performance evaluation of the previous year via</w:t>
      </w:r>
      <w:r w:rsidR="00B96993">
        <w:rPr>
          <w:rFonts w:ascii="Times New Roman" w:eastAsia="Times New Roman" w:hAnsi="Times New Roman" w:cs="Times New Roman"/>
          <w:sz w:val="24"/>
          <w:szCs w:val="24"/>
        </w:rPr>
        <w:t xml:space="preserve"> ASU Vitae (</w:t>
      </w:r>
      <w:r w:rsidRPr="001123B4">
        <w:rPr>
          <w:rFonts w:ascii="Times New Roman" w:eastAsia="Times New Roman" w:hAnsi="Times New Roman" w:cs="Times New Roman"/>
          <w:sz w:val="24"/>
          <w:szCs w:val="24"/>
        </w:rPr>
        <w:t>Interfolio</w:t>
      </w:r>
      <w:r w:rsidR="00B96993">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 </w:t>
      </w:r>
      <w:r w:rsidR="00CA68E5">
        <w:rPr>
          <w:rFonts w:ascii="Times New Roman" w:eastAsia="Times New Roman" w:hAnsi="Times New Roman" w:cs="Times New Roman"/>
          <w:sz w:val="24"/>
          <w:szCs w:val="24"/>
        </w:rPr>
        <w:t>A</w:t>
      </w:r>
      <w:r w:rsidRPr="001123B4">
        <w:rPr>
          <w:rFonts w:ascii="Times New Roman" w:eastAsia="Times New Roman" w:hAnsi="Times New Roman" w:cs="Times New Roman"/>
          <w:sz w:val="24"/>
          <w:szCs w:val="24"/>
        </w:rPr>
        <w:t xml:space="preserve"> designated academic staff member </w:t>
      </w:r>
      <w:r w:rsidR="006241DB">
        <w:rPr>
          <w:rFonts w:ascii="Times New Roman" w:eastAsia="Times New Roman" w:hAnsi="Times New Roman" w:cs="Times New Roman"/>
          <w:sz w:val="24"/>
          <w:szCs w:val="24"/>
        </w:rPr>
        <w:t xml:space="preserve">will </w:t>
      </w:r>
      <w:r w:rsidRPr="001123B4">
        <w:rPr>
          <w:rFonts w:ascii="Times New Roman" w:eastAsia="Times New Roman" w:hAnsi="Times New Roman" w:cs="Times New Roman"/>
          <w:sz w:val="24"/>
          <w:szCs w:val="24"/>
        </w:rPr>
        <w:t xml:space="preserve">distribute these materials to the </w:t>
      </w:r>
      <w:r w:rsidR="006241DB">
        <w:rPr>
          <w:rFonts w:ascii="Times New Roman" w:eastAsia="Times New Roman" w:hAnsi="Times New Roman" w:cs="Times New Roman"/>
          <w:sz w:val="24"/>
          <w:szCs w:val="24"/>
        </w:rPr>
        <w:t xml:space="preserve">appropriate </w:t>
      </w:r>
      <w:r w:rsidR="006241DB" w:rsidRPr="008768A2">
        <w:rPr>
          <w:rFonts w:ascii="Times New Roman" w:eastAsia="Times New Roman" w:hAnsi="Times New Roman" w:cs="Times New Roman"/>
          <w:color w:val="000000" w:themeColor="text1"/>
          <w:sz w:val="24"/>
          <w:szCs w:val="24"/>
        </w:rPr>
        <w:t>Personnel Evaluation Committees (</w:t>
      </w:r>
      <w:r w:rsidRPr="008768A2">
        <w:rPr>
          <w:rFonts w:ascii="Times New Roman" w:eastAsia="Times New Roman" w:hAnsi="Times New Roman" w:cs="Times New Roman"/>
          <w:color w:val="000000" w:themeColor="text1"/>
          <w:sz w:val="24"/>
          <w:szCs w:val="24"/>
        </w:rPr>
        <w:t>PECs</w:t>
      </w:r>
      <w:r w:rsidR="006241DB" w:rsidRPr="008768A2">
        <w:rPr>
          <w:rFonts w:ascii="Times New Roman" w:eastAsia="Times New Roman" w:hAnsi="Times New Roman" w:cs="Times New Roman"/>
          <w:color w:val="000000" w:themeColor="text1"/>
          <w:sz w:val="24"/>
          <w:szCs w:val="24"/>
        </w:rPr>
        <w:t>)</w:t>
      </w:r>
      <w:r w:rsidR="002424FA" w:rsidRPr="008768A2">
        <w:rPr>
          <w:rFonts w:ascii="Times New Roman" w:eastAsia="Times New Roman" w:hAnsi="Times New Roman" w:cs="Times New Roman"/>
          <w:color w:val="000000" w:themeColor="text1"/>
          <w:sz w:val="24"/>
          <w:szCs w:val="24"/>
        </w:rPr>
        <w:t xml:space="preserve">, whether the TTE PEC or </w:t>
      </w:r>
      <w:r w:rsidR="00C91CBC" w:rsidRPr="008768A2">
        <w:rPr>
          <w:rFonts w:ascii="Times New Roman" w:eastAsia="Times New Roman" w:hAnsi="Times New Roman" w:cs="Times New Roman"/>
          <w:color w:val="000000" w:themeColor="text1"/>
          <w:sz w:val="24"/>
          <w:szCs w:val="24"/>
        </w:rPr>
        <w:t>CT PEC</w:t>
      </w:r>
      <w:r w:rsidRPr="008768A2">
        <w:rPr>
          <w:rFonts w:ascii="Times New Roman" w:eastAsia="Times New Roman" w:hAnsi="Times New Roman" w:cs="Times New Roman"/>
          <w:color w:val="000000" w:themeColor="text1"/>
          <w:sz w:val="24"/>
          <w:szCs w:val="24"/>
        </w:rPr>
        <w:t xml:space="preserve">. </w:t>
      </w:r>
      <w:r w:rsidR="006241DB" w:rsidRPr="008768A2">
        <w:rPr>
          <w:rFonts w:ascii="Times New Roman" w:eastAsia="Times New Roman" w:hAnsi="Times New Roman" w:cs="Times New Roman"/>
          <w:color w:val="000000" w:themeColor="text1"/>
          <w:sz w:val="24"/>
          <w:szCs w:val="24"/>
        </w:rPr>
        <w:t>P</w:t>
      </w:r>
      <w:r w:rsidRPr="008768A2">
        <w:rPr>
          <w:rFonts w:ascii="Times New Roman" w:eastAsia="Times New Roman" w:hAnsi="Times New Roman" w:cs="Times New Roman"/>
          <w:color w:val="000000" w:themeColor="text1"/>
          <w:sz w:val="24"/>
          <w:szCs w:val="24"/>
        </w:rPr>
        <w:t>ortfolio</w:t>
      </w:r>
      <w:r w:rsidR="006241DB" w:rsidRPr="008768A2">
        <w:rPr>
          <w:rFonts w:ascii="Times New Roman" w:eastAsia="Times New Roman" w:hAnsi="Times New Roman" w:cs="Times New Roman"/>
          <w:color w:val="000000" w:themeColor="text1"/>
          <w:sz w:val="24"/>
          <w:szCs w:val="24"/>
        </w:rPr>
        <w:t>s are</w:t>
      </w:r>
      <w:r w:rsidRPr="008768A2">
        <w:rPr>
          <w:rFonts w:ascii="Times New Roman" w:eastAsia="Times New Roman" w:hAnsi="Times New Roman" w:cs="Times New Roman"/>
          <w:color w:val="000000" w:themeColor="text1"/>
          <w:sz w:val="24"/>
          <w:szCs w:val="24"/>
        </w:rPr>
        <w:t xml:space="preserve"> to contain: </w:t>
      </w:r>
    </w:p>
    <w:p w14:paraId="480C0FDA" w14:textId="7A194146" w:rsidR="00752D14" w:rsidRPr="001123B4" w:rsidRDefault="0035498F">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Annual </w:t>
      </w:r>
      <w:r w:rsidR="00CA68E5">
        <w:rPr>
          <w:rFonts w:ascii="Times New Roman" w:eastAsia="Times New Roman" w:hAnsi="Times New Roman" w:cs="Times New Roman"/>
          <w:sz w:val="24"/>
          <w:szCs w:val="24"/>
        </w:rPr>
        <w:t>g</w:t>
      </w:r>
      <w:r w:rsidRPr="001123B4">
        <w:rPr>
          <w:rFonts w:ascii="Times New Roman" w:eastAsia="Times New Roman" w:hAnsi="Times New Roman" w:cs="Times New Roman"/>
          <w:sz w:val="24"/>
          <w:szCs w:val="24"/>
        </w:rPr>
        <w:t>oals approved and signed for the year under review</w:t>
      </w:r>
      <w:r w:rsidR="006241DB">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 </w:t>
      </w:r>
    </w:p>
    <w:p w14:paraId="11C8E7B4" w14:textId="79B2A49E" w:rsidR="00752D14" w:rsidRPr="001123B4" w:rsidRDefault="0035498F">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A workload report according to ACD 301 </w:t>
      </w:r>
      <w:r w:rsidR="006241DB">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faculty</w:t>
      </w:r>
      <w:r w:rsidRPr="00B96993">
        <w:rPr>
          <w:rFonts w:ascii="Times New Roman" w:eastAsia="Times New Roman" w:hAnsi="Times New Roman" w:cs="Times New Roman"/>
          <w:color w:val="C00000"/>
          <w:sz w:val="24"/>
          <w:szCs w:val="24"/>
        </w:rPr>
        <w:t xml:space="preserve"> </w:t>
      </w:r>
      <w:r w:rsidRPr="001123B4">
        <w:rPr>
          <w:rFonts w:ascii="Times New Roman" w:eastAsia="Times New Roman" w:hAnsi="Times New Roman" w:cs="Times New Roman"/>
          <w:sz w:val="24"/>
          <w:szCs w:val="24"/>
        </w:rPr>
        <w:t>workloads will be addressed in conjunction with the annual review process between individual faculty members</w:t>
      </w:r>
      <w:r w:rsidRPr="00B96993">
        <w:rPr>
          <w:rFonts w:ascii="Times New Roman" w:eastAsia="Times New Roman" w:hAnsi="Times New Roman" w:cs="Times New Roman"/>
          <w:color w:val="C00000"/>
          <w:sz w:val="24"/>
          <w:szCs w:val="24"/>
        </w:rPr>
        <w:t xml:space="preserve"> </w:t>
      </w:r>
      <w:r w:rsidRPr="001123B4">
        <w:rPr>
          <w:rFonts w:ascii="Times New Roman" w:eastAsia="Times New Roman" w:hAnsi="Times New Roman" w:cs="Times New Roman"/>
          <w:sz w:val="24"/>
          <w:szCs w:val="24"/>
        </w:rPr>
        <w:t>and administrator(s) of their unit(s) and will be confirmed in writing by the administrator(s) of the academic unit(s)</w:t>
      </w:r>
      <w:r w:rsidR="006241DB">
        <w:rPr>
          <w:rFonts w:ascii="Times New Roman" w:eastAsia="Times New Roman" w:hAnsi="Times New Roman" w:cs="Times New Roman"/>
          <w:sz w:val="24"/>
          <w:szCs w:val="24"/>
        </w:rPr>
        <w:t>),</w:t>
      </w:r>
    </w:p>
    <w:p w14:paraId="636D9F22" w14:textId="2066CBD0" w:rsidR="00752D14" w:rsidRPr="001123B4" w:rsidRDefault="0035498F">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Vice dean evaluations (as available) from up to two years prior</w:t>
      </w:r>
      <w:r w:rsidR="006241DB">
        <w:rPr>
          <w:rFonts w:ascii="Times New Roman" w:eastAsia="Times New Roman" w:hAnsi="Times New Roman" w:cs="Times New Roman"/>
          <w:sz w:val="24"/>
          <w:szCs w:val="24"/>
        </w:rPr>
        <w:t>,</w:t>
      </w:r>
    </w:p>
    <w:p w14:paraId="7F7EC4C6" w14:textId="0A7DEFA0" w:rsidR="00752D14" w:rsidRPr="001123B4" w:rsidRDefault="00CA68E5">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241DB">
        <w:rPr>
          <w:rFonts w:ascii="Times New Roman" w:eastAsia="Times New Roman" w:hAnsi="Times New Roman" w:cs="Times New Roman"/>
          <w:sz w:val="24"/>
          <w:szCs w:val="24"/>
        </w:rPr>
        <w:t>n A</w:t>
      </w:r>
      <w:r>
        <w:rPr>
          <w:rFonts w:ascii="Times New Roman" w:eastAsia="Times New Roman" w:hAnsi="Times New Roman" w:cs="Times New Roman"/>
          <w:sz w:val="24"/>
          <w:szCs w:val="24"/>
        </w:rPr>
        <w:t xml:space="preserve">SU Vitae (Interfolio) </w:t>
      </w:r>
      <w:r w:rsidR="0035498F" w:rsidRPr="001123B4">
        <w:rPr>
          <w:rFonts w:ascii="Times New Roman" w:eastAsia="Times New Roman" w:hAnsi="Times New Roman" w:cs="Times New Roman"/>
          <w:sz w:val="24"/>
          <w:szCs w:val="24"/>
        </w:rPr>
        <w:t>Annotated Vitae Supplement (AVS)</w:t>
      </w:r>
      <w:r w:rsidR="006241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D4FCF93" w14:textId="4F358A6C" w:rsidR="00752D14" w:rsidRPr="001123B4" w:rsidRDefault="006241DB">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sidR="0035498F" w:rsidRPr="001123B4">
        <w:rPr>
          <w:rFonts w:ascii="Times New Roman" w:eastAsia="Times New Roman" w:hAnsi="Times New Roman" w:cs="Times New Roman"/>
          <w:sz w:val="24"/>
          <w:szCs w:val="24"/>
        </w:rPr>
        <w:t xml:space="preserve">ersonal </w:t>
      </w:r>
      <w:r w:rsidR="00CA68E5">
        <w:rPr>
          <w:rFonts w:ascii="Times New Roman" w:eastAsia="Times New Roman" w:hAnsi="Times New Roman" w:cs="Times New Roman"/>
          <w:sz w:val="24"/>
          <w:szCs w:val="24"/>
        </w:rPr>
        <w:t>s</w:t>
      </w:r>
      <w:r w:rsidR="0035498F" w:rsidRPr="001123B4">
        <w:rPr>
          <w:rFonts w:ascii="Times New Roman" w:eastAsia="Times New Roman" w:hAnsi="Times New Roman" w:cs="Times New Roman"/>
          <w:sz w:val="24"/>
          <w:szCs w:val="24"/>
        </w:rPr>
        <w:t xml:space="preserve">tatement highlighting achievements, for the annual review year only, according to </w:t>
      </w:r>
      <w:r>
        <w:rPr>
          <w:rFonts w:ascii="Times New Roman" w:eastAsia="Times New Roman" w:hAnsi="Times New Roman" w:cs="Times New Roman"/>
          <w:sz w:val="24"/>
          <w:szCs w:val="24"/>
        </w:rPr>
        <w:t>faculty members’</w:t>
      </w:r>
      <w:r w:rsidR="0035498F" w:rsidRPr="001123B4">
        <w:rPr>
          <w:rFonts w:ascii="Times New Roman" w:eastAsia="Times New Roman" w:hAnsi="Times New Roman" w:cs="Times New Roman"/>
          <w:sz w:val="24"/>
          <w:szCs w:val="24"/>
        </w:rPr>
        <w:t> appointment</w:t>
      </w:r>
      <w:r>
        <w:rPr>
          <w:rFonts w:ascii="Times New Roman" w:eastAsia="Times New Roman" w:hAnsi="Times New Roman" w:cs="Times New Roman"/>
          <w:sz w:val="24"/>
          <w:szCs w:val="24"/>
        </w:rPr>
        <w:t>s</w:t>
      </w:r>
      <w:r w:rsidR="00A633AF">
        <w:rPr>
          <w:rFonts w:ascii="Times New Roman" w:eastAsia="Times New Roman" w:hAnsi="Times New Roman" w:cs="Times New Roman"/>
          <w:sz w:val="24"/>
          <w:szCs w:val="24"/>
        </w:rPr>
        <w:t>.</w:t>
      </w:r>
    </w:p>
    <w:p w14:paraId="39DB06C1" w14:textId="36D9836E" w:rsidR="00752D14" w:rsidRPr="001123B4" w:rsidRDefault="0035498F">
      <w:pPr>
        <w:widowControl w:val="0"/>
        <w:numPr>
          <w:ilvl w:val="0"/>
          <w:numId w:val="9"/>
        </w:numPr>
        <w:pBdr>
          <w:top w:val="nil"/>
          <w:left w:val="nil"/>
          <w:bottom w:val="nil"/>
          <w:right w:val="nil"/>
          <w:between w:val="nil"/>
        </w:pBdr>
        <w:spacing w:line="240" w:lineRule="auto"/>
        <w:ind w:left="216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Student evaluation</w:t>
      </w:r>
      <w:r w:rsidR="00CA68E5">
        <w:rPr>
          <w:rFonts w:ascii="Times New Roman" w:eastAsia="Times New Roman" w:hAnsi="Times New Roman" w:cs="Times New Roman"/>
          <w:sz w:val="24"/>
          <w:szCs w:val="24"/>
        </w:rPr>
        <w:t>s</w:t>
      </w:r>
      <w:r w:rsidRPr="001123B4">
        <w:rPr>
          <w:rFonts w:ascii="Times New Roman" w:eastAsia="Times New Roman" w:hAnsi="Times New Roman" w:cs="Times New Roman"/>
          <w:sz w:val="24"/>
          <w:szCs w:val="24"/>
        </w:rPr>
        <w:t xml:space="preserve"> of teaching</w:t>
      </w:r>
    </w:p>
    <w:p w14:paraId="324D9960" w14:textId="77777777" w:rsidR="006241DB" w:rsidRDefault="006241D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4788C33C" w14:textId="4759C838" w:rsidR="00752D14" w:rsidRDefault="006241D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appropriate</w:t>
      </w:r>
      <w:r w:rsidR="0035498F">
        <w:rPr>
          <w:rFonts w:ascii="Times New Roman" w:eastAsia="Times New Roman" w:hAnsi="Times New Roman" w:cs="Times New Roman"/>
          <w:sz w:val="24"/>
          <w:szCs w:val="24"/>
        </w:rPr>
        <w:t xml:space="preserve"> PEC</w:t>
      </w: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 </w:t>
      </w:r>
      <w:r w:rsidR="00CA68E5">
        <w:rPr>
          <w:rFonts w:ascii="Times New Roman" w:eastAsia="Times New Roman" w:hAnsi="Times New Roman" w:cs="Times New Roman"/>
          <w:sz w:val="24"/>
          <w:szCs w:val="24"/>
        </w:rPr>
        <w:t>review</w:t>
      </w:r>
      <w:r w:rsidR="0035498F">
        <w:rPr>
          <w:rFonts w:ascii="Times New Roman" w:eastAsia="Times New Roman" w:hAnsi="Times New Roman" w:cs="Times New Roman"/>
          <w:sz w:val="24"/>
          <w:szCs w:val="24"/>
        </w:rPr>
        <w:t xml:space="preserve"> portfolio</w:t>
      </w: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 according to </w:t>
      </w:r>
      <w:r>
        <w:rPr>
          <w:rFonts w:ascii="Times New Roman" w:eastAsia="Times New Roman" w:hAnsi="Times New Roman" w:cs="Times New Roman"/>
          <w:sz w:val="24"/>
          <w:szCs w:val="24"/>
        </w:rPr>
        <w:t xml:space="preserve">faculty members’ </w:t>
      </w:r>
      <w:r w:rsidR="0035498F">
        <w:rPr>
          <w:rFonts w:ascii="Times New Roman" w:eastAsia="Times New Roman" w:hAnsi="Times New Roman" w:cs="Times New Roman"/>
          <w:sz w:val="24"/>
          <w:szCs w:val="24"/>
        </w:rPr>
        <w:t xml:space="preserve">position </w:t>
      </w:r>
      <w:r w:rsidR="0035498F">
        <w:rPr>
          <w:rFonts w:ascii="Times New Roman" w:eastAsia="Times New Roman" w:hAnsi="Times New Roman" w:cs="Times New Roman"/>
          <w:sz w:val="24"/>
          <w:szCs w:val="24"/>
        </w:rPr>
        <w:lastRenderedPageBreak/>
        <w:t>description</w:t>
      </w: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 and </w:t>
      </w:r>
      <w:r w:rsidR="00CA68E5">
        <w:rPr>
          <w:rFonts w:ascii="Times New Roman" w:eastAsia="Times New Roman" w:hAnsi="Times New Roman" w:cs="Times New Roman"/>
          <w:sz w:val="24"/>
          <w:szCs w:val="24"/>
        </w:rPr>
        <w:t xml:space="preserve">expectations. </w:t>
      </w:r>
      <w:r>
        <w:rPr>
          <w:rFonts w:ascii="Times New Roman" w:eastAsia="Times New Roman" w:hAnsi="Times New Roman" w:cs="Times New Roman"/>
          <w:sz w:val="24"/>
          <w:szCs w:val="24"/>
        </w:rPr>
        <w:t xml:space="preserve">Thereafter, </w:t>
      </w:r>
      <w:r w:rsidR="00CA68E5">
        <w:rPr>
          <w:rFonts w:ascii="Times New Roman" w:eastAsia="Times New Roman" w:hAnsi="Times New Roman" w:cs="Times New Roman"/>
          <w:sz w:val="24"/>
          <w:szCs w:val="24"/>
        </w:rPr>
        <w:t xml:space="preserve">PEC </w:t>
      </w:r>
      <w:r>
        <w:rPr>
          <w:rFonts w:ascii="Times New Roman" w:eastAsia="Times New Roman" w:hAnsi="Times New Roman" w:cs="Times New Roman"/>
          <w:sz w:val="24"/>
          <w:szCs w:val="24"/>
        </w:rPr>
        <w:t xml:space="preserve">members </w:t>
      </w:r>
      <w:r w:rsidR="0035498F">
        <w:rPr>
          <w:rFonts w:ascii="Times New Roman" w:eastAsia="Times New Roman" w:hAnsi="Times New Roman" w:cs="Times New Roman"/>
          <w:sz w:val="24"/>
          <w:szCs w:val="24"/>
        </w:rPr>
        <w:t xml:space="preserve">forward their </w:t>
      </w:r>
      <w:r w:rsidR="00CA68E5">
        <w:rPr>
          <w:rFonts w:ascii="Times New Roman" w:eastAsia="Times New Roman" w:hAnsi="Times New Roman" w:cs="Times New Roman"/>
          <w:sz w:val="24"/>
          <w:szCs w:val="24"/>
        </w:rPr>
        <w:t>assessment</w:t>
      </w: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 and collegial notes (if applicable) to the </w:t>
      </w:r>
      <w:r w:rsidR="0035498F" w:rsidRPr="00EC762B">
        <w:rPr>
          <w:rFonts w:ascii="Times New Roman" w:eastAsia="Times New Roman" w:hAnsi="Times New Roman" w:cs="Times New Roman"/>
          <w:sz w:val="24"/>
          <w:szCs w:val="24"/>
        </w:rPr>
        <w:t>vice</w:t>
      </w:r>
      <w:r w:rsidR="00CA68E5">
        <w:rPr>
          <w:rFonts w:ascii="Times New Roman" w:eastAsia="Times New Roman" w:hAnsi="Times New Roman" w:cs="Times New Roman"/>
          <w:sz w:val="24"/>
          <w:szCs w:val="24"/>
        </w:rPr>
        <w:t xml:space="preserve"> </w:t>
      </w:r>
      <w:r w:rsidR="0035498F" w:rsidRPr="00EC762B">
        <w:rPr>
          <w:rFonts w:ascii="Times New Roman" w:eastAsia="Times New Roman" w:hAnsi="Times New Roman" w:cs="Times New Roman"/>
          <w:sz w:val="24"/>
          <w:szCs w:val="24"/>
        </w:rPr>
        <w:t xml:space="preserve">deans for </w:t>
      </w:r>
      <w:r w:rsidR="0035498F">
        <w:rPr>
          <w:rFonts w:ascii="Times New Roman" w:eastAsia="Times New Roman" w:hAnsi="Times New Roman" w:cs="Times New Roman"/>
          <w:sz w:val="24"/>
          <w:szCs w:val="24"/>
        </w:rPr>
        <w:t xml:space="preserve">review. The vice deans then evaluate the </w:t>
      </w:r>
      <w:r w:rsidR="00CA68E5">
        <w:rPr>
          <w:rFonts w:ascii="Times New Roman" w:eastAsia="Times New Roman" w:hAnsi="Times New Roman" w:cs="Times New Roman"/>
          <w:sz w:val="24"/>
          <w:szCs w:val="24"/>
        </w:rPr>
        <w:t>assessment</w:t>
      </w: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 advanced by the PECs and assign ratings for scholarship, teaching, service, and overall performanc</w:t>
      </w:r>
      <w:r w:rsidR="00CA68E5">
        <w:rPr>
          <w:rFonts w:ascii="Times New Roman" w:eastAsia="Times New Roman" w:hAnsi="Times New Roman" w:cs="Times New Roman"/>
          <w:sz w:val="24"/>
          <w:szCs w:val="24"/>
        </w:rPr>
        <w:t>e</w:t>
      </w:r>
      <w:r w:rsidR="0035498F">
        <w:rPr>
          <w:rFonts w:ascii="Times New Roman" w:eastAsia="Times New Roman" w:hAnsi="Times New Roman" w:cs="Times New Roman"/>
          <w:sz w:val="24"/>
          <w:szCs w:val="24"/>
        </w:rPr>
        <w:t xml:space="preserve">. </w:t>
      </w:r>
    </w:p>
    <w:p w14:paraId="64B6AC50" w14:textId="77777777" w:rsidR="00752D14"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D58E5" w14:textId="2DE36D21" w:rsidR="00752D14"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Copies of the </w:t>
      </w:r>
      <w:r w:rsidR="006C1571">
        <w:rPr>
          <w:rFonts w:ascii="Times New Roman" w:eastAsia="Times New Roman" w:hAnsi="Times New Roman" w:cs="Times New Roman"/>
          <w:sz w:val="24"/>
          <w:szCs w:val="24"/>
        </w:rPr>
        <w:t>assessment</w:t>
      </w:r>
      <w:r w:rsidR="007271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the PEC</w:t>
      </w:r>
      <w:r w:rsidR="007271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the vice dean are filed and forwarded to the faculty member</w:t>
      </w:r>
      <w:r w:rsidR="00B9699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after the </w:t>
      </w:r>
      <w:r w:rsidR="00B96993" w:rsidRPr="00A5246B">
        <w:rPr>
          <w:rFonts w:ascii="Times New Roman" w:eastAsia="Times New Roman" w:hAnsi="Times New Roman" w:cs="Times New Roman"/>
          <w:color w:val="000000" w:themeColor="text1"/>
          <w:sz w:val="24"/>
          <w:szCs w:val="24"/>
        </w:rPr>
        <w:t xml:space="preserve">review and assessment </w:t>
      </w:r>
      <w:r w:rsidRPr="00A5246B">
        <w:rPr>
          <w:rFonts w:ascii="Times New Roman" w:eastAsia="Times New Roman" w:hAnsi="Times New Roman" w:cs="Times New Roman"/>
          <w:color w:val="000000" w:themeColor="text1"/>
          <w:sz w:val="24"/>
          <w:szCs w:val="24"/>
        </w:rPr>
        <w:t xml:space="preserve">procedure </w:t>
      </w:r>
      <w:r>
        <w:rPr>
          <w:rFonts w:ascii="Times New Roman" w:eastAsia="Times New Roman" w:hAnsi="Times New Roman" w:cs="Times New Roman"/>
          <w:sz w:val="24"/>
          <w:szCs w:val="24"/>
        </w:rPr>
        <w:t xml:space="preserve">is complete. </w:t>
      </w:r>
    </w:p>
    <w:p w14:paraId="423ED34B" w14:textId="77777777" w:rsidR="006241DB" w:rsidRDefault="006241DB" w:rsidP="0017430C">
      <w:pPr>
        <w:widowControl w:val="0"/>
        <w:spacing w:line="240" w:lineRule="auto"/>
        <w:ind w:left="1440" w:right="1440"/>
        <w:rPr>
          <w:rFonts w:ascii="Times New Roman" w:eastAsia="Times New Roman" w:hAnsi="Times New Roman" w:cs="Times New Roman"/>
          <w:sz w:val="24"/>
          <w:szCs w:val="24"/>
        </w:rPr>
      </w:pPr>
    </w:p>
    <w:p w14:paraId="68482F3E" w14:textId="36A95870" w:rsidR="00752D14"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the accumulation of each year’s annual performance review is not a guarantee of a favorable or adverse tenure and</w:t>
      </w:r>
      <w:r w:rsidR="00C93481">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promotion decision. While annual performance evaluations address a specific period of performance, promotion and tenure decisions are more comprehensive, considering a faculty member’s entire career. Promotion and tenure evaluations also include evaluations by external reviewers that are both retrospective and prospective. </w:t>
      </w:r>
    </w:p>
    <w:p w14:paraId="557AC126" w14:textId="77777777" w:rsidR="006241DB" w:rsidRDefault="006241DB" w:rsidP="0017430C">
      <w:pPr>
        <w:widowControl w:val="0"/>
        <w:spacing w:line="240" w:lineRule="auto"/>
        <w:ind w:left="1440" w:right="1440"/>
        <w:rPr>
          <w:rFonts w:ascii="Times New Roman" w:eastAsia="Times New Roman" w:hAnsi="Times New Roman" w:cs="Times New Roman"/>
          <w:sz w:val="24"/>
          <w:szCs w:val="24"/>
        </w:rPr>
      </w:pPr>
    </w:p>
    <w:p w14:paraId="34494680" w14:textId="15552E8B" w:rsidR="00752D14"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w:t>
      </w:r>
      <w:hyperlink r:id="rId42">
        <w:r w:rsidRPr="00EE3450">
          <w:rPr>
            <w:rFonts w:ascii="Times New Roman" w:eastAsia="Times New Roman" w:hAnsi="Times New Roman" w:cs="Times New Roman"/>
            <w:color w:val="0000FF"/>
            <w:sz w:val="24"/>
            <w:szCs w:val="24"/>
            <w:u w:val="single"/>
          </w:rPr>
          <w:t>ACD 301: Faculty/academic professional workloads</w:t>
        </w:r>
      </w:hyperlink>
      <w:r w:rsidRPr="00EE3450">
        <w:rPr>
          <w:rFonts w:ascii="Times New Roman" w:eastAsia="Times New Roman" w:hAnsi="Times New Roman" w:cs="Times New Roman"/>
          <w:color w:val="0000FF"/>
          <w:sz w:val="24"/>
          <w:szCs w:val="24"/>
        </w:rPr>
        <w:t xml:space="preserve">; </w:t>
      </w:r>
      <w:hyperlink r:id="rId43" w:history="1">
        <w:r w:rsidRPr="00EE3450">
          <w:rPr>
            <w:rStyle w:val="Hyperlink"/>
            <w:rFonts w:ascii="Times New Roman" w:eastAsia="Times New Roman" w:hAnsi="Times New Roman" w:cs="Times New Roman"/>
            <w:color w:val="0000FF"/>
            <w:sz w:val="24"/>
            <w:szCs w:val="24"/>
          </w:rPr>
          <w:t xml:space="preserve">ACD 506–01: </w:t>
        </w:r>
        <w:r w:rsidR="000D7D8D" w:rsidRPr="00EE3450">
          <w:rPr>
            <w:rStyle w:val="Hyperlink"/>
            <w:rFonts w:ascii="Times New Roman" w:eastAsia="Times New Roman" w:hAnsi="Times New Roman" w:cs="Times New Roman"/>
            <w:color w:val="0000FF"/>
            <w:sz w:val="24"/>
            <w:szCs w:val="24"/>
          </w:rPr>
          <w:t>Preamble for Promotion and Tenure</w:t>
        </w:r>
      </w:hyperlink>
      <w:r w:rsidRPr="00EE3450">
        <w:rPr>
          <w:rFonts w:ascii="Times New Roman" w:eastAsia="Times New Roman" w:hAnsi="Times New Roman" w:cs="Times New Roman"/>
          <w:color w:val="0000FF"/>
          <w:sz w:val="24"/>
          <w:szCs w:val="24"/>
        </w:rPr>
        <w:t xml:space="preserve">; </w:t>
      </w:r>
      <w:hyperlink r:id="rId44">
        <w:r w:rsidRPr="00EE3450">
          <w:rPr>
            <w:rFonts w:ascii="Times New Roman" w:eastAsia="Times New Roman" w:hAnsi="Times New Roman" w:cs="Times New Roman"/>
            <w:color w:val="0000FF"/>
            <w:sz w:val="24"/>
            <w:szCs w:val="24"/>
            <w:u w:val="single"/>
          </w:rPr>
          <w:t>ACD 506–04: Tenure</w:t>
        </w:r>
      </w:hyperlink>
      <w:r w:rsidRPr="00EE3450">
        <w:rPr>
          <w:rFonts w:ascii="Times New Roman" w:eastAsia="Times New Roman" w:hAnsi="Times New Roman" w:cs="Times New Roman"/>
          <w:color w:val="0000FF"/>
          <w:sz w:val="24"/>
          <w:szCs w:val="24"/>
        </w:rPr>
        <w:t xml:space="preserve">; </w:t>
      </w:r>
      <w:hyperlink r:id="rId45">
        <w:r w:rsidRPr="00EE3450">
          <w:rPr>
            <w:rFonts w:ascii="Times New Roman" w:eastAsia="Times New Roman" w:hAnsi="Times New Roman" w:cs="Times New Roman"/>
            <w:color w:val="0000FF"/>
            <w:sz w:val="24"/>
            <w:szCs w:val="24"/>
            <w:u w:val="single"/>
          </w:rPr>
          <w:t>ACD 506–05: Promotion</w:t>
        </w:r>
      </w:hyperlink>
      <w:r>
        <w:rPr>
          <w:rFonts w:ascii="Times New Roman" w:eastAsia="Times New Roman" w:hAnsi="Times New Roman" w:cs="Times New Roman"/>
          <w:sz w:val="24"/>
          <w:szCs w:val="24"/>
        </w:rPr>
        <w:t xml:space="preserve"> </w:t>
      </w:r>
    </w:p>
    <w:p w14:paraId="7A226254" w14:textId="77777777" w:rsidR="00752D14" w:rsidRDefault="00752D14" w:rsidP="0017430C">
      <w:pPr>
        <w:widowControl w:val="0"/>
        <w:pBdr>
          <w:top w:val="nil"/>
          <w:left w:val="nil"/>
          <w:bottom w:val="nil"/>
          <w:right w:val="nil"/>
          <w:between w:val="nil"/>
        </w:pBdr>
        <w:spacing w:line="240" w:lineRule="auto"/>
        <w:ind w:right="1440"/>
        <w:rPr>
          <w:rFonts w:ascii="Times New Roman" w:eastAsia="Times New Roman" w:hAnsi="Times New Roman" w:cs="Times New Roman"/>
          <w:sz w:val="24"/>
          <w:szCs w:val="24"/>
        </w:rPr>
      </w:pPr>
    </w:p>
    <w:p w14:paraId="26BA4174" w14:textId="5417AB1B" w:rsidR="00752D14" w:rsidRDefault="0035498F" w:rsidP="0017430C">
      <w:pPr>
        <w:pStyle w:val="Heading3"/>
        <w:widowControl w:val="0"/>
        <w:spacing w:before="0" w:after="0" w:line="240" w:lineRule="auto"/>
        <w:ind w:left="1440" w:right="1440"/>
        <w:rPr>
          <w:rFonts w:ascii="Times New Roman" w:eastAsia="Times New Roman" w:hAnsi="Times New Roman" w:cs="Times New Roman"/>
        </w:rPr>
      </w:pPr>
      <w:bookmarkStart w:id="20" w:name="_2bn6wsx" w:colFirst="0" w:colLast="0"/>
      <w:bookmarkEnd w:id="20"/>
      <w:r w:rsidRPr="00E54420">
        <w:rPr>
          <w:rFonts w:ascii="Times New Roman" w:eastAsia="Times New Roman" w:hAnsi="Times New Roman" w:cs="Times New Roman"/>
        </w:rPr>
        <w:t>3.2.1 Evaluation Criteria and Indicators for Scholarship</w:t>
      </w:r>
    </w:p>
    <w:p w14:paraId="2182F54B" w14:textId="77777777" w:rsidR="00E928E6" w:rsidRPr="00E928E6" w:rsidRDefault="00E928E6" w:rsidP="00E928E6"/>
    <w:p w14:paraId="44F1EFBB" w14:textId="77AA3BA7" w:rsidR="00752D14" w:rsidRDefault="00C91CBC" w:rsidP="0017430C">
      <w:pPr>
        <w:widowControl w:val="0"/>
        <w:spacing w:line="240" w:lineRule="auto"/>
        <w:ind w:left="720" w:righ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5498F">
        <w:rPr>
          <w:rFonts w:ascii="Times New Roman" w:eastAsia="Times New Roman" w:hAnsi="Times New Roman" w:cs="Times New Roman"/>
          <w:sz w:val="24"/>
          <w:szCs w:val="24"/>
        </w:rPr>
        <w:t xml:space="preserve">cholarship is evaluated on a 5-point </w:t>
      </w:r>
      <w:r w:rsidR="00A5246B">
        <w:rPr>
          <w:rFonts w:ascii="Times New Roman" w:eastAsia="Times New Roman" w:hAnsi="Times New Roman" w:cs="Times New Roman"/>
          <w:sz w:val="24"/>
          <w:szCs w:val="24"/>
        </w:rPr>
        <w:t xml:space="preserve">numerical </w:t>
      </w:r>
      <w:r w:rsidR="0035498F">
        <w:rPr>
          <w:rFonts w:ascii="Times New Roman" w:eastAsia="Times New Roman" w:hAnsi="Times New Roman" w:cs="Times New Roman"/>
          <w:sz w:val="24"/>
          <w:szCs w:val="24"/>
        </w:rPr>
        <w:t>scale as follows:</w:t>
      </w:r>
    </w:p>
    <w:p w14:paraId="69303664" w14:textId="77777777" w:rsid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5 </w:t>
      </w:r>
      <w:r w:rsidR="00E54420">
        <w:rPr>
          <w:rFonts w:ascii="Times New Roman" w:eastAsia="Times New Roman" w:hAnsi="Times New Roman" w:cs="Times New Roman"/>
          <w:sz w:val="24"/>
          <w:szCs w:val="24"/>
        </w:rPr>
        <w:t>–</w:t>
      </w:r>
      <w:r w:rsidRPr="00E54420">
        <w:rPr>
          <w:rFonts w:ascii="Times New Roman" w:eastAsia="Times New Roman" w:hAnsi="Times New Roman" w:cs="Times New Roman"/>
          <w:sz w:val="24"/>
          <w:szCs w:val="24"/>
        </w:rPr>
        <w:t xml:space="preserve"> Responsibilities</w:t>
      </w:r>
      <w:r w:rsidR="00E54420">
        <w:rPr>
          <w:rFonts w:ascii="Times New Roman" w:eastAsia="Times New Roman" w:hAnsi="Times New Roman" w:cs="Times New Roman"/>
          <w:sz w:val="24"/>
          <w:szCs w:val="24"/>
        </w:rPr>
        <w:t xml:space="preserve"> </w:t>
      </w:r>
      <w:r w:rsidRPr="00E54420">
        <w:rPr>
          <w:rFonts w:ascii="Times New Roman" w:eastAsia="Times New Roman" w:hAnsi="Times New Roman" w:cs="Times New Roman"/>
          <w:sz w:val="24"/>
          <w:szCs w:val="24"/>
        </w:rPr>
        <w:t>of the position exceeded in a sustained and outstanding manner</w:t>
      </w:r>
      <w:r w:rsidR="00BA75CF" w:rsidRPr="00E54420">
        <w:rPr>
          <w:rFonts w:ascii="Times New Roman" w:eastAsia="Times New Roman" w:hAnsi="Times New Roman" w:cs="Times New Roman"/>
          <w:sz w:val="24"/>
          <w:szCs w:val="24"/>
        </w:rPr>
        <w:t>.</w:t>
      </w:r>
      <w:r w:rsidRPr="00E54420">
        <w:rPr>
          <w:rFonts w:ascii="Times New Roman" w:eastAsia="Times New Roman" w:hAnsi="Times New Roman" w:cs="Times New Roman"/>
          <w:sz w:val="24"/>
          <w:szCs w:val="24"/>
        </w:rPr>
        <w:t xml:space="preserve"> </w:t>
      </w:r>
    </w:p>
    <w:p w14:paraId="61052FB2" w14:textId="100E50F1" w:rsidR="00E54420" w:rsidRDefault="00AC0958" w:rsidP="00E54420">
      <w:pPr>
        <w:pStyle w:val="ListParagraph"/>
        <w:widowControl w:val="0"/>
        <w:spacing w:line="240" w:lineRule="auto"/>
        <w:ind w:left="2520" w:right="1440"/>
        <w:rPr>
          <w:rFonts w:ascii="Times New Roman" w:eastAsia="Times New Roman" w:hAnsi="Times New Roman" w:cs="Times New Roman"/>
          <w:sz w:val="24"/>
          <w:szCs w:val="24"/>
        </w:rPr>
      </w:pPr>
      <w:r w:rsidRPr="00AC0958">
        <w:rPr>
          <w:rFonts w:ascii="Times New Roman" w:eastAsia="Times New Roman" w:hAnsi="Times New Roman" w:cs="Times New Roman"/>
          <w:sz w:val="24"/>
          <w:szCs w:val="24"/>
        </w:rPr>
        <w:t xml:space="preserve">To attain a rating of 5, the faculty member would have had ratings of 4 (or 5) for each of the past two years and the rating for this year must be sufficient to warrant a rating of 5. An exceptional record of accomplishments that reflects impact, influence, or contribution to the field would have included, but not be limited to, published works, including refereed research and/or professional articles, books, book chapters, textbooks, monographs, funded and unfunded grants, refereed conference presentations (possibly with published proceedings and/or abstracts), and/or other scholarly works and leadership, such as editorships for a refereed journal and a record of involvement in policy development, and/or change. A positive scholarly trajectory would be clearly evident (e.g., a scholarly concept map may help describe current and future work, explain synergies between scholarship, teaching, and service, and illustrate how these align with </w:t>
      </w:r>
      <w:hyperlink r:id="rId46" w:anchor=":~:text=ASU%20is%20a%20comprehensive%20public,of%20the%20communities%20it%20serves" w:history="1">
        <w:r w:rsidR="00A06EE4" w:rsidRPr="00EE3450">
          <w:rPr>
            <w:rStyle w:val="Hyperlink"/>
            <w:rFonts w:ascii="Times New Roman" w:eastAsia="Times New Roman" w:hAnsi="Times New Roman" w:cs="Times New Roman"/>
            <w:color w:val="0000FF"/>
            <w:sz w:val="24"/>
            <w:szCs w:val="24"/>
          </w:rPr>
          <w:t>ASU Charter</w:t>
        </w:r>
      </w:hyperlink>
      <w:r w:rsidR="00A06EE4" w:rsidRPr="00E54420">
        <w:rPr>
          <w:rFonts w:ascii="Times New Roman" w:eastAsia="Times New Roman" w:hAnsi="Times New Roman" w:cs="Times New Roman"/>
          <w:sz w:val="24"/>
          <w:szCs w:val="24"/>
        </w:rPr>
        <w:t xml:space="preserve"> and </w:t>
      </w:r>
      <w:hyperlink r:id="rId47" w:history="1">
        <w:r w:rsidR="00A06EE4" w:rsidRPr="00EE3450">
          <w:rPr>
            <w:rStyle w:val="Hyperlink"/>
            <w:rFonts w:ascii="Times New Roman" w:eastAsia="Times New Roman" w:hAnsi="Times New Roman" w:cs="Times New Roman"/>
            <w:color w:val="0000FF"/>
            <w:sz w:val="24"/>
            <w:szCs w:val="24"/>
          </w:rPr>
          <w:t>ASU’s Design Aspirations</w:t>
        </w:r>
      </w:hyperlink>
      <w:r w:rsidR="0035498F" w:rsidRPr="00EE3450">
        <w:rPr>
          <w:rFonts w:ascii="Times New Roman" w:eastAsia="Times New Roman" w:hAnsi="Times New Roman" w:cs="Times New Roman"/>
          <w:color w:val="0000FF"/>
          <w:sz w:val="24"/>
          <w:szCs w:val="24"/>
        </w:rPr>
        <w:t xml:space="preserve">). </w:t>
      </w:r>
      <w:r w:rsidR="0035498F" w:rsidRPr="00E54420">
        <w:rPr>
          <w:rFonts w:ascii="Times New Roman" w:eastAsia="Times New Roman" w:hAnsi="Times New Roman" w:cs="Times New Roman"/>
          <w:sz w:val="24"/>
          <w:szCs w:val="24"/>
        </w:rPr>
        <w:t xml:space="preserve">Finally, the attainments for the year should have been consistent with </w:t>
      </w:r>
      <w:r w:rsidR="00413B90">
        <w:rPr>
          <w:rFonts w:ascii="Times New Roman" w:eastAsia="Times New Roman" w:hAnsi="Times New Roman" w:cs="Times New Roman"/>
          <w:sz w:val="24"/>
          <w:szCs w:val="24"/>
        </w:rPr>
        <w:t xml:space="preserve">the </w:t>
      </w:r>
      <w:r w:rsidR="0035498F" w:rsidRPr="00E54420">
        <w:rPr>
          <w:rFonts w:ascii="Times New Roman" w:eastAsia="Times New Roman" w:hAnsi="Times New Roman" w:cs="Times New Roman"/>
          <w:sz w:val="24"/>
          <w:szCs w:val="24"/>
        </w:rPr>
        <w:t>stated</w:t>
      </w:r>
      <w:r w:rsidR="00963F17">
        <w:rPr>
          <w:rFonts w:ascii="Times New Roman" w:eastAsia="Times New Roman" w:hAnsi="Times New Roman" w:cs="Times New Roman"/>
          <w:sz w:val="24"/>
          <w:szCs w:val="24"/>
        </w:rPr>
        <w:t xml:space="preserve"> and agreed-upon</w:t>
      </w:r>
      <w:r w:rsidR="0035498F" w:rsidRPr="00E54420">
        <w:rPr>
          <w:rFonts w:ascii="Times New Roman" w:eastAsia="Times New Roman" w:hAnsi="Times New Roman" w:cs="Times New Roman"/>
          <w:sz w:val="24"/>
          <w:szCs w:val="24"/>
        </w:rPr>
        <w:t xml:space="preserve"> goals for the period. </w:t>
      </w:r>
    </w:p>
    <w:p w14:paraId="640C834C" w14:textId="77777777" w:rsidR="00E54420" w:rsidRDefault="00E54420" w:rsidP="00E54420">
      <w:pPr>
        <w:pStyle w:val="ListParagraph"/>
        <w:widowControl w:val="0"/>
        <w:spacing w:line="240" w:lineRule="auto"/>
        <w:ind w:left="180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w:t>
      </w:r>
      <w:r w:rsidR="0035498F" w:rsidRPr="00E54420">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 xml:space="preserve"> </w:t>
      </w:r>
      <w:r w:rsidR="0035498F" w:rsidRPr="00E54420">
        <w:rPr>
          <w:rFonts w:ascii="Times New Roman" w:eastAsia="Times New Roman" w:hAnsi="Times New Roman" w:cs="Times New Roman"/>
          <w:sz w:val="24"/>
          <w:szCs w:val="24"/>
        </w:rPr>
        <w:t>of the position exceeded</w:t>
      </w:r>
      <w:r>
        <w:rPr>
          <w:rFonts w:ascii="Times New Roman" w:eastAsia="Times New Roman" w:hAnsi="Times New Roman" w:cs="Times New Roman"/>
          <w:sz w:val="24"/>
          <w:szCs w:val="24"/>
        </w:rPr>
        <w:t xml:space="preserve">. </w:t>
      </w:r>
    </w:p>
    <w:p w14:paraId="55AC2CC7" w14:textId="77777777" w:rsidR="00AC0958" w:rsidRDefault="00AC0958" w:rsidP="00AC0958">
      <w:pPr>
        <w:pStyle w:val="ListParagraph"/>
        <w:widowControl w:val="0"/>
        <w:spacing w:line="240" w:lineRule="auto"/>
        <w:ind w:left="2520" w:right="1440"/>
        <w:rPr>
          <w:rFonts w:ascii="Times New Roman" w:eastAsia="Times New Roman" w:hAnsi="Times New Roman" w:cs="Times New Roman"/>
          <w:sz w:val="24"/>
          <w:szCs w:val="24"/>
        </w:rPr>
      </w:pPr>
      <w:r w:rsidRPr="00AC0958">
        <w:rPr>
          <w:rFonts w:ascii="Times New Roman" w:eastAsia="Times New Roman" w:hAnsi="Times New Roman" w:cs="Times New Roman"/>
          <w:sz w:val="24"/>
          <w:szCs w:val="24"/>
        </w:rPr>
        <w:t>To attain a rating of 4, the faculty member would have demonstrated considerable attainments. An excellent record of accomplishments that reflects impact, influence, or contribution to the field would have included, but not be limited to, published works, including refereed research and/or professional articles, books, book chapters, textbooks, monographs, funded and unfunded grants, refereed conference presentations (possibly with published proceedings and/or abstracts), and/or other scholarly works and leadership, such as editorships for a refereed journal and a record of involvement in policy development, and/or change. Convincing evidence of scholarly trajectory would also have been provided. Finally, the attainments for the year should have been consistent with the stated and agreed-upon goals for the period.</w:t>
      </w:r>
    </w:p>
    <w:p w14:paraId="667A9255" w14:textId="78790470" w:rsidR="00E54420" w:rsidRDefault="0035498F" w:rsidP="00AC0958">
      <w:pPr>
        <w:pStyle w:val="ListParagraph"/>
        <w:widowControl w:val="0"/>
        <w:spacing w:line="240" w:lineRule="auto"/>
        <w:ind w:left="1890" w:right="1440" w:hanging="9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lastRenderedPageBreak/>
        <w:t>3 - Responsibilities of the position fulfilled</w:t>
      </w:r>
      <w:r w:rsidR="00E54420">
        <w:rPr>
          <w:rFonts w:ascii="Times New Roman" w:eastAsia="Times New Roman" w:hAnsi="Times New Roman" w:cs="Times New Roman"/>
          <w:sz w:val="24"/>
          <w:szCs w:val="24"/>
        </w:rPr>
        <w:t xml:space="preserve">. </w:t>
      </w:r>
    </w:p>
    <w:p w14:paraId="55917AAD" w14:textId="01BD3BB2" w:rsidR="00752D14" w:rsidRPr="001123B4" w:rsidRDefault="0035498F" w:rsidP="00E54420">
      <w:pPr>
        <w:pStyle w:val="ListParagraph"/>
        <w:widowControl w:val="0"/>
        <w:spacing w:line="240" w:lineRule="auto"/>
        <w:ind w:left="252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To attain a rating of 3, the </w:t>
      </w:r>
      <w:r w:rsidR="00B96993" w:rsidRPr="00B96993">
        <w:rPr>
          <w:rFonts w:ascii="Times New Roman" w:eastAsia="Times New Roman" w:hAnsi="Times New Roman" w:cs="Times New Roman"/>
          <w:color w:val="000000" w:themeColor="text1"/>
          <w:sz w:val="24"/>
          <w:szCs w:val="24"/>
        </w:rPr>
        <w:t xml:space="preserve">faculty member </w:t>
      </w:r>
      <w:r w:rsidRPr="001123B4">
        <w:rPr>
          <w:rFonts w:ascii="Times New Roman" w:eastAsia="Times New Roman" w:hAnsi="Times New Roman" w:cs="Times New Roman"/>
          <w:sz w:val="24"/>
          <w:szCs w:val="24"/>
        </w:rPr>
        <w:t>would have demonstrated clear attainments. An acceptable record of accomplishments that reflects impact, influence</w:t>
      </w:r>
      <w:r w:rsidR="00963F17">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 or contribution to the field would have included, but not be limited to, published works, including refereed research and/or professional articles, books, book chapters, textbooks, monographs, funded and unfunded grants</w:t>
      </w:r>
      <w:r w:rsidR="00BA54C0">
        <w:rPr>
          <w:rFonts w:ascii="Times New Roman" w:eastAsia="Times New Roman" w:hAnsi="Times New Roman" w:cs="Times New Roman"/>
          <w:sz w:val="24"/>
          <w:szCs w:val="24"/>
        </w:rPr>
        <w:t xml:space="preserve">, </w:t>
      </w:r>
      <w:r w:rsidR="00BA54C0" w:rsidRPr="00E90959">
        <w:rPr>
          <w:rFonts w:ascii="Times New Roman" w:eastAsia="Times New Roman" w:hAnsi="Times New Roman" w:cs="Times New Roman"/>
          <w:sz w:val="24"/>
          <w:szCs w:val="24"/>
        </w:rPr>
        <w:t>refereed conference presentations (possibly with published proceedings and/or abstracts)</w:t>
      </w:r>
      <w:r w:rsidR="00BA54C0">
        <w:rPr>
          <w:rFonts w:ascii="Times New Roman" w:eastAsia="Times New Roman" w:hAnsi="Times New Roman" w:cs="Times New Roman"/>
          <w:sz w:val="24"/>
          <w:szCs w:val="24"/>
        </w:rPr>
        <w:t>,</w:t>
      </w:r>
      <w:r w:rsidR="00BA54C0" w:rsidRPr="00E90959">
        <w:rPr>
          <w:rFonts w:ascii="Times New Roman" w:eastAsia="Times New Roman" w:hAnsi="Times New Roman" w:cs="Times New Roman"/>
          <w:sz w:val="24"/>
          <w:szCs w:val="24"/>
        </w:rPr>
        <w:t> and/or other scholarly work</w:t>
      </w:r>
      <w:r w:rsidR="00BA54C0">
        <w:rPr>
          <w:rFonts w:ascii="Times New Roman" w:eastAsia="Times New Roman" w:hAnsi="Times New Roman" w:cs="Times New Roman"/>
          <w:sz w:val="24"/>
          <w:szCs w:val="24"/>
        </w:rPr>
        <w:t>s</w:t>
      </w:r>
      <w:r w:rsidR="00AC0958">
        <w:rPr>
          <w:rFonts w:ascii="Times New Roman" w:eastAsia="Times New Roman" w:hAnsi="Times New Roman" w:cs="Times New Roman"/>
          <w:sz w:val="24"/>
          <w:szCs w:val="24"/>
        </w:rPr>
        <w:t xml:space="preserve"> and leadership</w:t>
      </w:r>
      <w:r w:rsidR="00BA54C0" w:rsidRPr="00E90959">
        <w:rPr>
          <w:rFonts w:ascii="Times New Roman" w:eastAsia="Times New Roman" w:hAnsi="Times New Roman" w:cs="Times New Roman"/>
          <w:sz w:val="24"/>
          <w:szCs w:val="24"/>
        </w:rPr>
        <w:t>, such as editorship</w:t>
      </w:r>
      <w:r w:rsidR="00BA54C0">
        <w:rPr>
          <w:rFonts w:ascii="Times New Roman" w:eastAsia="Times New Roman" w:hAnsi="Times New Roman" w:cs="Times New Roman"/>
          <w:sz w:val="24"/>
          <w:szCs w:val="24"/>
        </w:rPr>
        <w:t>s</w:t>
      </w:r>
      <w:r w:rsidR="00BA54C0" w:rsidRPr="00E90959">
        <w:rPr>
          <w:rFonts w:ascii="Times New Roman" w:eastAsia="Times New Roman" w:hAnsi="Times New Roman" w:cs="Times New Roman"/>
          <w:sz w:val="24"/>
          <w:szCs w:val="24"/>
        </w:rPr>
        <w:t xml:space="preserve"> for a refereed journal and a record of involvement in policy development, and/or change</w:t>
      </w:r>
      <w:r w:rsidRPr="001123B4">
        <w:rPr>
          <w:rFonts w:ascii="Times New Roman" w:eastAsia="Times New Roman" w:hAnsi="Times New Roman" w:cs="Times New Roman"/>
          <w:sz w:val="24"/>
          <w:szCs w:val="24"/>
        </w:rPr>
        <w:t xml:space="preserve">. Convincing evidence of scholarly trajectory would also have been provided. Finally, the attainments for the year should have been consistent with </w:t>
      </w:r>
      <w:r w:rsidR="00963F17">
        <w:rPr>
          <w:rFonts w:ascii="Times New Roman" w:eastAsia="Times New Roman" w:hAnsi="Times New Roman" w:cs="Times New Roman"/>
          <w:sz w:val="24"/>
          <w:szCs w:val="24"/>
        </w:rPr>
        <w:t xml:space="preserve">the </w:t>
      </w:r>
      <w:r w:rsidRPr="001123B4">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upon goals for the period.</w:t>
      </w:r>
    </w:p>
    <w:p w14:paraId="491C2FB0" w14:textId="05157392"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2 - Responsibilities of the position marginally fulfilled</w:t>
      </w:r>
      <w:r w:rsidR="00556775">
        <w:rPr>
          <w:rFonts w:ascii="Times New Roman" w:eastAsia="Times New Roman" w:hAnsi="Times New Roman" w:cs="Times New Roman"/>
          <w:sz w:val="24"/>
          <w:szCs w:val="24"/>
        </w:rPr>
        <w:t>.</w:t>
      </w:r>
      <w:r w:rsidRPr="00E54420">
        <w:rPr>
          <w:rFonts w:ascii="Times New Roman" w:eastAsia="Times New Roman" w:hAnsi="Times New Roman" w:cs="Times New Roman"/>
          <w:sz w:val="24"/>
          <w:szCs w:val="24"/>
        </w:rPr>
        <w:t xml:space="preserve"> </w:t>
      </w:r>
    </w:p>
    <w:p w14:paraId="595E61E8" w14:textId="73205CBD" w:rsidR="00752D14" w:rsidRPr="001123B4" w:rsidRDefault="0035498F" w:rsidP="00E54420">
      <w:pPr>
        <w:widowControl w:val="0"/>
        <w:spacing w:line="240" w:lineRule="auto"/>
        <w:ind w:left="252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To attain a rating of 2, the </w:t>
      </w:r>
      <w:r w:rsidR="00B96993" w:rsidRPr="00B96993">
        <w:rPr>
          <w:rFonts w:ascii="Times New Roman" w:eastAsia="Times New Roman" w:hAnsi="Times New Roman" w:cs="Times New Roman"/>
          <w:color w:val="000000" w:themeColor="text1"/>
          <w:sz w:val="24"/>
          <w:szCs w:val="24"/>
        </w:rPr>
        <w:t xml:space="preserve">faculty member </w:t>
      </w:r>
      <w:r w:rsidRPr="001123B4">
        <w:rPr>
          <w:rFonts w:ascii="Times New Roman" w:eastAsia="Times New Roman" w:hAnsi="Times New Roman" w:cs="Times New Roman"/>
          <w:sz w:val="24"/>
          <w:szCs w:val="24"/>
        </w:rPr>
        <w:t>would report a modest record of published works that reflects impact, influence</w:t>
      </w:r>
      <w:r w:rsidR="00963F17">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 or contribution to the field that includes refereed research and/or professional articles; books, book chapters, textbooks, monographs, funded and unfunded grants</w:t>
      </w:r>
      <w:r w:rsidR="00BA54C0">
        <w:rPr>
          <w:rFonts w:ascii="Times New Roman" w:eastAsia="Times New Roman" w:hAnsi="Times New Roman" w:cs="Times New Roman"/>
          <w:sz w:val="24"/>
          <w:szCs w:val="24"/>
        </w:rPr>
        <w:t xml:space="preserve">, </w:t>
      </w:r>
      <w:r w:rsidR="00BA54C0" w:rsidRPr="00E90959">
        <w:rPr>
          <w:rFonts w:ascii="Times New Roman" w:eastAsia="Times New Roman" w:hAnsi="Times New Roman" w:cs="Times New Roman"/>
          <w:sz w:val="24"/>
          <w:szCs w:val="24"/>
        </w:rPr>
        <w:t>refereed conference presentations (possibly with published proceedings and/or abstracts)</w:t>
      </w:r>
      <w:r w:rsidR="00BA54C0">
        <w:rPr>
          <w:rFonts w:ascii="Times New Roman" w:eastAsia="Times New Roman" w:hAnsi="Times New Roman" w:cs="Times New Roman"/>
          <w:sz w:val="24"/>
          <w:szCs w:val="24"/>
        </w:rPr>
        <w:t>,</w:t>
      </w:r>
      <w:r w:rsidR="00BA54C0" w:rsidRPr="00E90959">
        <w:rPr>
          <w:rFonts w:ascii="Times New Roman" w:eastAsia="Times New Roman" w:hAnsi="Times New Roman" w:cs="Times New Roman"/>
          <w:sz w:val="24"/>
          <w:szCs w:val="24"/>
        </w:rPr>
        <w:t> and/or other scholarly work</w:t>
      </w:r>
      <w:r w:rsidR="00BA54C0">
        <w:rPr>
          <w:rFonts w:ascii="Times New Roman" w:eastAsia="Times New Roman" w:hAnsi="Times New Roman" w:cs="Times New Roman"/>
          <w:sz w:val="24"/>
          <w:szCs w:val="24"/>
        </w:rPr>
        <w:t>s</w:t>
      </w:r>
      <w:r w:rsidR="00AC0958">
        <w:rPr>
          <w:rFonts w:ascii="Times New Roman" w:eastAsia="Times New Roman" w:hAnsi="Times New Roman" w:cs="Times New Roman"/>
          <w:sz w:val="24"/>
          <w:szCs w:val="24"/>
        </w:rPr>
        <w:t xml:space="preserve"> and leadership</w:t>
      </w:r>
      <w:r w:rsidR="00BA54C0" w:rsidRPr="00E90959">
        <w:rPr>
          <w:rFonts w:ascii="Times New Roman" w:eastAsia="Times New Roman" w:hAnsi="Times New Roman" w:cs="Times New Roman"/>
          <w:sz w:val="24"/>
          <w:szCs w:val="24"/>
        </w:rPr>
        <w:t>, such as editorship</w:t>
      </w:r>
      <w:r w:rsidR="00BA54C0">
        <w:rPr>
          <w:rFonts w:ascii="Times New Roman" w:eastAsia="Times New Roman" w:hAnsi="Times New Roman" w:cs="Times New Roman"/>
          <w:sz w:val="24"/>
          <w:szCs w:val="24"/>
        </w:rPr>
        <w:t>s</w:t>
      </w:r>
      <w:r w:rsidR="00BA54C0" w:rsidRPr="00E90959">
        <w:rPr>
          <w:rFonts w:ascii="Times New Roman" w:eastAsia="Times New Roman" w:hAnsi="Times New Roman" w:cs="Times New Roman"/>
          <w:sz w:val="24"/>
          <w:szCs w:val="24"/>
        </w:rPr>
        <w:t xml:space="preserve"> for a refereed journal and a record of involvement in policy development, and/or change</w:t>
      </w:r>
      <w:r w:rsidRPr="001123B4">
        <w:rPr>
          <w:rFonts w:ascii="Times New Roman" w:eastAsia="Times New Roman" w:hAnsi="Times New Roman" w:cs="Times New Roman"/>
          <w:sz w:val="24"/>
          <w:szCs w:val="24"/>
        </w:rPr>
        <w:t>. The demonstrated record would have provided little convincing evidence of a positive scholarship trajectory. The scholarly work would have been minimal in quantity and quality. Finally, the attainments for the year may not have been entirely consistent with the stated and agreed</w:t>
      </w:r>
      <w:r w:rsidR="00963F17">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upon goals for the period. </w:t>
      </w:r>
    </w:p>
    <w:p w14:paraId="14DEDB7F" w14:textId="22FF6B8D"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1 - Unsatisfactory—Responsibilities of the position not fulfilled</w:t>
      </w:r>
      <w:r w:rsidR="00556775">
        <w:rPr>
          <w:rFonts w:ascii="Times New Roman" w:eastAsia="Times New Roman" w:hAnsi="Times New Roman" w:cs="Times New Roman"/>
          <w:sz w:val="24"/>
          <w:szCs w:val="24"/>
        </w:rPr>
        <w:t>.</w:t>
      </w:r>
      <w:r w:rsidRPr="00E54420">
        <w:rPr>
          <w:rFonts w:ascii="Times New Roman" w:eastAsia="Times New Roman" w:hAnsi="Times New Roman" w:cs="Times New Roman"/>
          <w:sz w:val="24"/>
          <w:szCs w:val="24"/>
        </w:rPr>
        <w:t xml:space="preserve"> </w:t>
      </w:r>
    </w:p>
    <w:p w14:paraId="44976549" w14:textId="327F1331" w:rsidR="00752D14" w:rsidRPr="001123B4" w:rsidRDefault="0035498F" w:rsidP="00E54420">
      <w:pPr>
        <w:widowControl w:val="0"/>
        <w:spacing w:line="240" w:lineRule="auto"/>
        <w:ind w:left="2520" w:right="1440"/>
        <w:rPr>
          <w:rFonts w:ascii="Times New Roman" w:eastAsia="Times New Roman" w:hAnsi="Times New Roman" w:cs="Times New Roman"/>
          <w:sz w:val="24"/>
          <w:szCs w:val="24"/>
        </w:rPr>
      </w:pPr>
      <w:r w:rsidRPr="001123B4">
        <w:rPr>
          <w:rFonts w:ascii="Times New Roman" w:eastAsia="Times New Roman" w:hAnsi="Times New Roman" w:cs="Times New Roman"/>
          <w:sz w:val="24"/>
          <w:szCs w:val="24"/>
        </w:rPr>
        <w:t xml:space="preserve">To attain a rating of 1, the </w:t>
      </w:r>
      <w:r w:rsidR="00B96993" w:rsidRPr="00B96993">
        <w:rPr>
          <w:rFonts w:ascii="Times New Roman" w:eastAsia="Times New Roman" w:hAnsi="Times New Roman" w:cs="Times New Roman"/>
          <w:color w:val="000000" w:themeColor="text1"/>
          <w:sz w:val="24"/>
          <w:szCs w:val="24"/>
        </w:rPr>
        <w:t xml:space="preserve">faculty member </w:t>
      </w:r>
      <w:r w:rsidRPr="001123B4">
        <w:rPr>
          <w:rFonts w:ascii="Times New Roman" w:eastAsia="Times New Roman" w:hAnsi="Times New Roman" w:cs="Times New Roman"/>
          <w:sz w:val="24"/>
          <w:szCs w:val="24"/>
        </w:rPr>
        <w:t>would have demonstrated minimal or no scholarly productivity of any kind and would have provided no convincing evidence of a positive scholarship trajectory. Published, refereed research and/or professional articles; books, book chapters, textbooks, monographs, funded and unfunded grants</w:t>
      </w:r>
      <w:r w:rsidR="00BA54C0">
        <w:rPr>
          <w:rFonts w:ascii="Times New Roman" w:eastAsia="Times New Roman" w:hAnsi="Times New Roman" w:cs="Times New Roman"/>
          <w:sz w:val="24"/>
          <w:szCs w:val="24"/>
        </w:rPr>
        <w:t xml:space="preserve">, </w:t>
      </w:r>
      <w:r w:rsidR="00BA54C0" w:rsidRPr="00E90959">
        <w:rPr>
          <w:rFonts w:ascii="Times New Roman" w:eastAsia="Times New Roman" w:hAnsi="Times New Roman" w:cs="Times New Roman"/>
          <w:sz w:val="24"/>
          <w:szCs w:val="24"/>
        </w:rPr>
        <w:t>refereed conference presentations (possibly with published proceedings and/or abstracts)</w:t>
      </w:r>
      <w:r w:rsidR="00BA54C0">
        <w:rPr>
          <w:rFonts w:ascii="Times New Roman" w:eastAsia="Times New Roman" w:hAnsi="Times New Roman" w:cs="Times New Roman"/>
          <w:sz w:val="24"/>
          <w:szCs w:val="24"/>
        </w:rPr>
        <w:t>,</w:t>
      </w:r>
      <w:r w:rsidR="00BA54C0" w:rsidRPr="00E90959">
        <w:rPr>
          <w:rFonts w:ascii="Times New Roman" w:eastAsia="Times New Roman" w:hAnsi="Times New Roman" w:cs="Times New Roman"/>
          <w:sz w:val="24"/>
          <w:szCs w:val="24"/>
        </w:rPr>
        <w:t> and/or other scholarly work</w:t>
      </w:r>
      <w:r w:rsidR="00BA54C0">
        <w:rPr>
          <w:rFonts w:ascii="Times New Roman" w:eastAsia="Times New Roman" w:hAnsi="Times New Roman" w:cs="Times New Roman"/>
          <w:sz w:val="24"/>
          <w:szCs w:val="24"/>
        </w:rPr>
        <w:t>s</w:t>
      </w:r>
      <w:r w:rsidR="00AC0958">
        <w:rPr>
          <w:rFonts w:ascii="Times New Roman" w:eastAsia="Times New Roman" w:hAnsi="Times New Roman" w:cs="Times New Roman"/>
          <w:sz w:val="24"/>
          <w:szCs w:val="24"/>
        </w:rPr>
        <w:t xml:space="preserve"> and leadership</w:t>
      </w:r>
      <w:r w:rsidR="00BA54C0" w:rsidRPr="00E90959">
        <w:rPr>
          <w:rFonts w:ascii="Times New Roman" w:eastAsia="Times New Roman" w:hAnsi="Times New Roman" w:cs="Times New Roman"/>
          <w:sz w:val="24"/>
          <w:szCs w:val="24"/>
        </w:rPr>
        <w:t>, such as editorship</w:t>
      </w:r>
      <w:r w:rsidR="00BA54C0">
        <w:rPr>
          <w:rFonts w:ascii="Times New Roman" w:eastAsia="Times New Roman" w:hAnsi="Times New Roman" w:cs="Times New Roman"/>
          <w:sz w:val="24"/>
          <w:szCs w:val="24"/>
        </w:rPr>
        <w:t>s</w:t>
      </w:r>
      <w:r w:rsidR="00BA54C0" w:rsidRPr="00E90959">
        <w:rPr>
          <w:rFonts w:ascii="Times New Roman" w:eastAsia="Times New Roman" w:hAnsi="Times New Roman" w:cs="Times New Roman"/>
          <w:sz w:val="24"/>
          <w:szCs w:val="24"/>
        </w:rPr>
        <w:t xml:space="preserve"> for a refereed journal and a record of involvement in policy development, and/or change</w:t>
      </w:r>
      <w:r w:rsidRPr="001123B4">
        <w:rPr>
          <w:rFonts w:ascii="Times New Roman" w:eastAsia="Times New Roman" w:hAnsi="Times New Roman" w:cs="Times New Roman"/>
          <w:sz w:val="24"/>
          <w:szCs w:val="24"/>
        </w:rPr>
        <w:t xml:space="preserve"> would have been absent, or so minimal as to not have demonstrated progress toward scholarly attainment. Finally, the attainments for the year would not have been consistent with </w:t>
      </w:r>
      <w:r w:rsidR="00963F17">
        <w:rPr>
          <w:rFonts w:ascii="Times New Roman" w:eastAsia="Times New Roman" w:hAnsi="Times New Roman" w:cs="Times New Roman"/>
          <w:sz w:val="24"/>
          <w:szCs w:val="24"/>
        </w:rPr>
        <w:t xml:space="preserve">the </w:t>
      </w:r>
      <w:r w:rsidRPr="001123B4">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1123B4">
        <w:rPr>
          <w:rFonts w:ascii="Times New Roman" w:eastAsia="Times New Roman" w:hAnsi="Times New Roman" w:cs="Times New Roman"/>
          <w:sz w:val="24"/>
          <w:szCs w:val="24"/>
        </w:rPr>
        <w:t xml:space="preserve">upon goals for the period. </w:t>
      </w:r>
    </w:p>
    <w:p w14:paraId="7F158CAA" w14:textId="77777777" w:rsidR="00752D14" w:rsidRPr="001123B4" w:rsidRDefault="00752D14" w:rsidP="0017430C">
      <w:pPr>
        <w:widowControl w:val="0"/>
        <w:spacing w:line="240" w:lineRule="auto"/>
        <w:ind w:left="1440" w:right="1440"/>
        <w:rPr>
          <w:rFonts w:ascii="Times New Roman" w:eastAsia="Times New Roman" w:hAnsi="Times New Roman" w:cs="Times New Roman"/>
          <w:sz w:val="24"/>
          <w:szCs w:val="24"/>
        </w:rPr>
      </w:pPr>
    </w:p>
    <w:p w14:paraId="78C24C37" w14:textId="2B0C155C" w:rsidR="00752D14" w:rsidRDefault="0035498F" w:rsidP="0017430C">
      <w:pPr>
        <w:pStyle w:val="Heading3"/>
        <w:spacing w:before="0" w:after="0" w:line="240" w:lineRule="auto"/>
        <w:ind w:left="1440" w:right="1440"/>
        <w:rPr>
          <w:rFonts w:ascii="Times New Roman" w:eastAsia="Times New Roman" w:hAnsi="Times New Roman" w:cs="Times New Roman"/>
        </w:rPr>
      </w:pPr>
      <w:bookmarkStart w:id="21" w:name="_qsh70q" w:colFirst="0" w:colLast="0"/>
      <w:bookmarkEnd w:id="21"/>
      <w:r w:rsidRPr="00E54420">
        <w:rPr>
          <w:rFonts w:ascii="Times New Roman" w:eastAsia="Times New Roman" w:hAnsi="Times New Roman" w:cs="Times New Roman"/>
        </w:rPr>
        <w:t>3.2.2 Evaluation Criteria and Indicators for Teaching</w:t>
      </w:r>
    </w:p>
    <w:p w14:paraId="4E8965B3" w14:textId="77777777" w:rsidR="00E928E6" w:rsidRPr="00E928E6" w:rsidRDefault="00E928E6" w:rsidP="00E928E6"/>
    <w:p w14:paraId="22074AEB" w14:textId="7491FC50" w:rsidR="00C75E18" w:rsidRPr="00D626B8" w:rsidRDefault="0035498F" w:rsidP="0017430C">
      <w:pPr>
        <w:widowControl w:val="0"/>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teaching work is evaluated on a 5-point </w:t>
      </w:r>
      <w:r w:rsidR="00A5246B">
        <w:rPr>
          <w:rFonts w:ascii="Times New Roman" w:eastAsia="Times New Roman" w:hAnsi="Times New Roman" w:cs="Times New Roman"/>
          <w:sz w:val="24"/>
          <w:szCs w:val="24"/>
        </w:rPr>
        <w:t xml:space="preserve">numerical </w:t>
      </w:r>
      <w:r>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cale as follows:</w:t>
      </w:r>
    </w:p>
    <w:p w14:paraId="7B379B26" w14:textId="27D58F72" w:rsidR="00C75E18"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5 - Responsibilities of the position exceeded in a sustained and outstanding manner </w:t>
      </w:r>
    </w:p>
    <w:p w14:paraId="286BA8CF" w14:textId="5994145E" w:rsidR="00752D14" w:rsidRPr="00D626B8" w:rsidRDefault="00C75E18" w:rsidP="00E54420">
      <w:pPr>
        <w:widowControl w:val="0"/>
        <w:spacing w:line="240" w:lineRule="auto"/>
        <w:ind w:left="25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5498F" w:rsidRPr="00D626B8">
        <w:rPr>
          <w:rFonts w:ascii="Times New Roman" w:eastAsia="Times New Roman" w:hAnsi="Times New Roman" w:cs="Times New Roman"/>
          <w:sz w:val="24"/>
          <w:szCs w:val="24"/>
        </w:rPr>
        <w:t xml:space="preserve">o attain a rating of 5, the </w:t>
      </w:r>
      <w:r w:rsidR="00B96993" w:rsidRPr="00B96993">
        <w:rPr>
          <w:rFonts w:ascii="Times New Roman" w:eastAsia="Times New Roman" w:hAnsi="Times New Roman" w:cs="Times New Roman"/>
          <w:color w:val="000000" w:themeColor="text1"/>
          <w:sz w:val="24"/>
          <w:szCs w:val="24"/>
        </w:rPr>
        <w:t xml:space="preserve">faculty member </w:t>
      </w:r>
      <w:r w:rsidR="0035498F" w:rsidRPr="00D626B8">
        <w:rPr>
          <w:rFonts w:ascii="Times New Roman" w:eastAsia="Times New Roman" w:hAnsi="Times New Roman" w:cs="Times New Roman"/>
          <w:sz w:val="24"/>
          <w:szCs w:val="24"/>
        </w:rPr>
        <w:t xml:space="preserve">would have had ratings of 4 (or 5) for each of the past two years and the rating for this year must be sufficient to warrant a rating of 5. A clear pattern of exceptional teaching </w:t>
      </w:r>
      <w:r w:rsidR="001B47D7">
        <w:rPr>
          <w:rFonts w:ascii="Times New Roman" w:eastAsia="Times New Roman" w:hAnsi="Times New Roman" w:cs="Times New Roman"/>
          <w:sz w:val="24"/>
          <w:szCs w:val="24"/>
        </w:rPr>
        <w:t xml:space="preserve">or leadership in teaching </w:t>
      </w:r>
      <w:r w:rsidR="0035498F" w:rsidRPr="00D626B8">
        <w:rPr>
          <w:rFonts w:ascii="Times New Roman" w:eastAsia="Times New Roman" w:hAnsi="Times New Roman" w:cs="Times New Roman"/>
          <w:sz w:val="24"/>
          <w:szCs w:val="24"/>
        </w:rPr>
        <w:t xml:space="preserve">would have included, but would not have been limited to peer reviews of teaching (applies to face-to-face, hybrid, and online courses), evidence of student mentoring (if applicable), new course development, course revisions, infusion of new methods and/or technologies, evidence of refinement of teaching, development and </w:t>
      </w:r>
      <w:r w:rsidR="00641879" w:rsidRPr="00D626B8">
        <w:rPr>
          <w:rFonts w:ascii="Times New Roman" w:eastAsia="Times New Roman" w:hAnsi="Times New Roman" w:cs="Times New Roman"/>
          <w:sz w:val="24"/>
          <w:szCs w:val="24"/>
        </w:rPr>
        <w:t>delivery</w:t>
      </w:r>
      <w:r w:rsidR="00641879">
        <w:rPr>
          <w:rFonts w:ascii="Times New Roman" w:eastAsia="Times New Roman" w:hAnsi="Times New Roman" w:cs="Times New Roman"/>
          <w:sz w:val="24"/>
          <w:szCs w:val="24"/>
        </w:rPr>
        <w:t xml:space="preserve"> </w:t>
      </w:r>
      <w:r w:rsidR="0035498F" w:rsidRPr="00D626B8">
        <w:rPr>
          <w:rFonts w:ascii="Times New Roman" w:eastAsia="Times New Roman" w:hAnsi="Times New Roman" w:cs="Times New Roman"/>
          <w:sz w:val="24"/>
          <w:szCs w:val="24"/>
        </w:rPr>
        <w:t xml:space="preserve">of professional development (i.e., in-service) workshops, development of new </w:t>
      </w:r>
      <w:r w:rsidR="0035498F" w:rsidRPr="00D626B8">
        <w:rPr>
          <w:rFonts w:ascii="Times New Roman" w:eastAsia="Times New Roman" w:hAnsi="Times New Roman" w:cs="Times New Roman"/>
          <w:sz w:val="24"/>
          <w:szCs w:val="24"/>
        </w:rPr>
        <w:lastRenderedPageBreak/>
        <w:t xml:space="preserve">undergraduate,  graduate, and/or certificate programs as appropriate/possible. Student </w:t>
      </w:r>
      <w:r w:rsidR="00E45D1C">
        <w:rPr>
          <w:rFonts w:ascii="Times New Roman" w:eastAsia="Times New Roman" w:hAnsi="Times New Roman" w:cs="Times New Roman"/>
          <w:sz w:val="24"/>
          <w:szCs w:val="24"/>
        </w:rPr>
        <w:t>c</w:t>
      </w:r>
      <w:r w:rsidR="0035498F" w:rsidRPr="00D626B8">
        <w:rPr>
          <w:rFonts w:ascii="Times New Roman" w:eastAsia="Times New Roman" w:hAnsi="Times New Roman" w:cs="Times New Roman"/>
          <w:sz w:val="24"/>
          <w:szCs w:val="24"/>
        </w:rPr>
        <w:t xml:space="preserve">ourse </w:t>
      </w:r>
      <w:r w:rsidR="00E45D1C">
        <w:rPr>
          <w:rFonts w:ascii="Times New Roman" w:eastAsia="Times New Roman" w:hAnsi="Times New Roman" w:cs="Times New Roman"/>
          <w:sz w:val="24"/>
          <w:szCs w:val="24"/>
        </w:rPr>
        <w:t>e</w:t>
      </w:r>
      <w:r w:rsidR="0035498F" w:rsidRPr="00D626B8">
        <w:rPr>
          <w:rFonts w:ascii="Times New Roman" w:eastAsia="Times New Roman" w:hAnsi="Times New Roman" w:cs="Times New Roman"/>
          <w:sz w:val="24"/>
          <w:szCs w:val="24"/>
        </w:rPr>
        <w:t xml:space="preserve">valuation scores consistently above the college’s averages (with consideration for class size, course type, prior experience with teaching the course, etc.) across years. Finally, the attainments for the year would have been consistent with </w:t>
      </w:r>
      <w:r w:rsidR="00963F17">
        <w:rPr>
          <w:rFonts w:ascii="Times New Roman" w:eastAsia="Times New Roman" w:hAnsi="Times New Roman" w:cs="Times New Roman"/>
          <w:sz w:val="24"/>
          <w:szCs w:val="24"/>
        </w:rPr>
        <w:t xml:space="preserve">the </w:t>
      </w:r>
      <w:r w:rsidR="0035498F"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0035498F" w:rsidRPr="00D626B8">
        <w:rPr>
          <w:rFonts w:ascii="Times New Roman" w:eastAsia="Times New Roman" w:hAnsi="Times New Roman" w:cs="Times New Roman"/>
          <w:sz w:val="24"/>
          <w:szCs w:val="24"/>
        </w:rPr>
        <w:t xml:space="preserve">upon goals for the period.  </w:t>
      </w:r>
    </w:p>
    <w:p w14:paraId="4537D2A8" w14:textId="3231255C"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4 - Responsibilities of the position exceeded </w:t>
      </w:r>
    </w:p>
    <w:p w14:paraId="09995F7C" w14:textId="173DCEE4"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4,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demonstrated considerable attainments. A clear pattern of excellent teaching</w:t>
      </w:r>
      <w:r w:rsidR="001B47D7">
        <w:rPr>
          <w:rFonts w:ascii="Times New Roman" w:eastAsia="Times New Roman" w:hAnsi="Times New Roman" w:cs="Times New Roman"/>
          <w:sz w:val="24"/>
          <w:szCs w:val="24"/>
        </w:rPr>
        <w:t xml:space="preserve"> or leadership in teaching</w:t>
      </w:r>
      <w:r w:rsidRPr="00D626B8">
        <w:rPr>
          <w:rFonts w:ascii="Times New Roman" w:eastAsia="Times New Roman" w:hAnsi="Times New Roman" w:cs="Times New Roman"/>
          <w:sz w:val="24"/>
          <w:szCs w:val="24"/>
        </w:rPr>
        <w:t xml:space="preserve"> would have included, but would not have been limited to peer reviews of teaching (applies to face-to-face, hybrid, and online courses), evidence of graduate student mentoring (if applicable), new course development, course revisions, infusion of new methods and/or technologies, evidence of refinement of teaching, development and delivery</w:t>
      </w:r>
      <w:r w:rsidR="00963F17">
        <w:rPr>
          <w:rFonts w:ascii="Times New Roman" w:eastAsia="Times New Roman" w:hAnsi="Times New Roman" w:cs="Times New Roman"/>
          <w:sz w:val="24"/>
          <w:szCs w:val="24"/>
        </w:rPr>
        <w:t xml:space="preserve"> </w:t>
      </w:r>
      <w:r w:rsidRPr="00D626B8">
        <w:rPr>
          <w:rFonts w:ascii="Times New Roman" w:eastAsia="Times New Roman" w:hAnsi="Times New Roman" w:cs="Times New Roman"/>
          <w:sz w:val="24"/>
          <w:szCs w:val="24"/>
        </w:rPr>
        <w:t xml:space="preserve">of professional development (i.e., in-service) workshops, development of new undergraduate, graduate, and/or certificate programs as appropriate/possible. Most </w:t>
      </w:r>
      <w:r w:rsidR="00E45D1C">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tudent </w:t>
      </w:r>
      <w:r w:rsidR="00E45D1C">
        <w:rPr>
          <w:rFonts w:ascii="Times New Roman" w:eastAsia="Times New Roman" w:hAnsi="Times New Roman" w:cs="Times New Roman"/>
          <w:sz w:val="24"/>
          <w:szCs w:val="24"/>
        </w:rPr>
        <w:t>c</w:t>
      </w:r>
      <w:r w:rsidRPr="00D626B8">
        <w:rPr>
          <w:rFonts w:ascii="Times New Roman" w:eastAsia="Times New Roman" w:hAnsi="Times New Roman" w:cs="Times New Roman"/>
          <w:sz w:val="24"/>
          <w:szCs w:val="24"/>
        </w:rPr>
        <w:t xml:space="preserve">ourse </w:t>
      </w:r>
      <w:r w:rsidR="00E45D1C">
        <w:rPr>
          <w:rFonts w:ascii="Times New Roman" w:eastAsia="Times New Roman" w:hAnsi="Times New Roman" w:cs="Times New Roman"/>
          <w:sz w:val="24"/>
          <w:szCs w:val="24"/>
        </w:rPr>
        <w:t>e</w:t>
      </w:r>
      <w:r w:rsidRPr="00D626B8">
        <w:rPr>
          <w:rFonts w:ascii="Times New Roman" w:eastAsia="Times New Roman" w:hAnsi="Times New Roman" w:cs="Times New Roman"/>
          <w:sz w:val="24"/>
          <w:szCs w:val="24"/>
        </w:rPr>
        <w:t xml:space="preserve">valuation scores were at or above the college’s averages (with consideration for class size, course type, prior experience with teaching the course, etc.). Finally, the attainments for the year would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5BF0D377" w14:textId="1D60956D"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3 - Responsibilities of the position fulfilled </w:t>
      </w:r>
    </w:p>
    <w:p w14:paraId="6C481F7E" w14:textId="3CB11E32"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3,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demonstrated clear attainments. A clear pattern of appropriate teaching would have included, but would not have been limited to peer reviews of teaching (applies to face-to-face, hybrid, and online courses), evidence of graduate student mentoring (if applicable), new course development, course revisions, infusion of new methods and/or technologies, evidence of refinement of teaching, development</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and delivery of professional development (i.e., in-service) workshops, development of new undergraduate,  </w:t>
      </w:r>
    </w:p>
    <w:p w14:paraId="25ED1AB6" w14:textId="69346166"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graduate, and/or certificate programs as appropriate/possible. Student </w:t>
      </w:r>
      <w:r w:rsidR="00E45D1C">
        <w:rPr>
          <w:rFonts w:ascii="Times New Roman" w:eastAsia="Times New Roman" w:hAnsi="Times New Roman" w:cs="Times New Roman"/>
          <w:sz w:val="24"/>
          <w:szCs w:val="24"/>
        </w:rPr>
        <w:t>c</w:t>
      </w:r>
      <w:r w:rsidRPr="00D626B8">
        <w:rPr>
          <w:rFonts w:ascii="Times New Roman" w:eastAsia="Times New Roman" w:hAnsi="Times New Roman" w:cs="Times New Roman"/>
          <w:sz w:val="24"/>
          <w:szCs w:val="24"/>
        </w:rPr>
        <w:t xml:space="preserve">ourse </w:t>
      </w:r>
      <w:r w:rsidR="00E45D1C">
        <w:rPr>
          <w:rFonts w:ascii="Times New Roman" w:eastAsia="Times New Roman" w:hAnsi="Times New Roman" w:cs="Times New Roman"/>
          <w:sz w:val="24"/>
          <w:szCs w:val="24"/>
        </w:rPr>
        <w:t>e</w:t>
      </w:r>
      <w:r w:rsidRPr="00D626B8">
        <w:rPr>
          <w:rFonts w:ascii="Times New Roman" w:eastAsia="Times New Roman" w:hAnsi="Times New Roman" w:cs="Times New Roman"/>
          <w:sz w:val="24"/>
          <w:szCs w:val="24"/>
        </w:rPr>
        <w:t xml:space="preserve">valuation scores were at or close to the college’s averages (with consideration for class size, course type, prior experience with teaching the course, etc.). Finally, the attainments for the year would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14268E5D" w14:textId="580EA5E1"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2 - Responsibilities of the position marginally fulfilled </w:t>
      </w:r>
    </w:p>
    <w:p w14:paraId="26303BE3" w14:textId="14194E9F"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2,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 xml:space="preserve">would have demonstrated a pattern of modest teaching that included minimal evidence in the form of peer reviews of teaching (applies </w:t>
      </w:r>
      <w:r w:rsidR="00641879" w:rsidRPr="00D626B8">
        <w:rPr>
          <w:rFonts w:ascii="Times New Roman" w:eastAsia="Times New Roman" w:hAnsi="Times New Roman" w:cs="Times New Roman"/>
          <w:sz w:val="24"/>
          <w:szCs w:val="24"/>
        </w:rPr>
        <w:t>to</w:t>
      </w:r>
      <w:r w:rsidR="00641879">
        <w:rPr>
          <w:rFonts w:ascii="Times New Roman" w:eastAsia="Times New Roman" w:hAnsi="Times New Roman" w:cs="Times New Roman"/>
          <w:sz w:val="24"/>
          <w:szCs w:val="24"/>
        </w:rPr>
        <w:t xml:space="preserve"> </w:t>
      </w:r>
      <w:r w:rsidRPr="00D626B8">
        <w:rPr>
          <w:rFonts w:ascii="Times New Roman" w:eastAsia="Times New Roman" w:hAnsi="Times New Roman" w:cs="Times New Roman"/>
          <w:sz w:val="24"/>
          <w:szCs w:val="24"/>
        </w:rPr>
        <w:t>face-to-face, hybrid, and online courses), evidence of graduate student mentoring (if applicable), new course development, course revisions, infusion of new methods and/or technologies, evidence of refinement of teaching, development</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and delivery of professional development (i.e., in-service) workshops, development of new undergraduate, graduate,  and/or certificate programs as appropriate/possible. </w:t>
      </w:r>
      <w:proofErr w:type="gramStart"/>
      <w:r w:rsidRPr="00D626B8">
        <w:rPr>
          <w:rFonts w:ascii="Times New Roman" w:eastAsia="Times New Roman" w:hAnsi="Times New Roman" w:cs="Times New Roman"/>
          <w:sz w:val="24"/>
          <w:szCs w:val="24"/>
        </w:rPr>
        <w:t>The majority of</w:t>
      </w:r>
      <w:proofErr w:type="gramEnd"/>
      <w:r w:rsidRPr="00D626B8">
        <w:rPr>
          <w:rFonts w:ascii="Times New Roman" w:eastAsia="Times New Roman" w:hAnsi="Times New Roman" w:cs="Times New Roman"/>
          <w:sz w:val="24"/>
          <w:szCs w:val="24"/>
        </w:rPr>
        <w:t xml:space="preserve"> </w:t>
      </w:r>
      <w:r w:rsidR="00E45D1C">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tudent </w:t>
      </w:r>
      <w:r w:rsidR="00E45D1C">
        <w:rPr>
          <w:rFonts w:ascii="Times New Roman" w:eastAsia="Times New Roman" w:hAnsi="Times New Roman" w:cs="Times New Roman"/>
          <w:sz w:val="24"/>
          <w:szCs w:val="24"/>
        </w:rPr>
        <w:t>c</w:t>
      </w:r>
      <w:r w:rsidRPr="00D626B8">
        <w:rPr>
          <w:rFonts w:ascii="Times New Roman" w:eastAsia="Times New Roman" w:hAnsi="Times New Roman" w:cs="Times New Roman"/>
          <w:sz w:val="24"/>
          <w:szCs w:val="24"/>
        </w:rPr>
        <w:t xml:space="preserve">ourse </w:t>
      </w:r>
      <w:r w:rsidR="00E45D1C">
        <w:rPr>
          <w:rFonts w:ascii="Times New Roman" w:eastAsia="Times New Roman" w:hAnsi="Times New Roman" w:cs="Times New Roman"/>
          <w:sz w:val="24"/>
          <w:szCs w:val="24"/>
        </w:rPr>
        <w:t>e</w:t>
      </w:r>
      <w:r w:rsidRPr="00D626B8">
        <w:rPr>
          <w:rFonts w:ascii="Times New Roman" w:eastAsia="Times New Roman" w:hAnsi="Times New Roman" w:cs="Times New Roman"/>
          <w:sz w:val="24"/>
          <w:szCs w:val="24"/>
        </w:rPr>
        <w:t>valuation scores were below the college’s averages (with consideration for class size, course type, prior experience with teaching the course, etc.). Finally, the attainments for the year may not have been consistent with the 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7E75661C" w14:textId="4E1EA8DE" w:rsidR="00E45D1C"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1 - Unsatisfactory—Responsibilities of the position not fulfilled</w:t>
      </w:r>
    </w:p>
    <w:p w14:paraId="079573A8" w14:textId="7658B212"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1, the </w:t>
      </w:r>
      <w:r w:rsidR="007271FE"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 xml:space="preserve">would have demonstrated minimal to very low levels of teaching performance with little to no evidence such as peer reviews of </w:t>
      </w:r>
      <w:r w:rsidRPr="00D626B8">
        <w:rPr>
          <w:rFonts w:ascii="Times New Roman" w:eastAsia="Times New Roman" w:hAnsi="Times New Roman" w:cs="Times New Roman"/>
          <w:sz w:val="24"/>
          <w:szCs w:val="24"/>
        </w:rPr>
        <w:lastRenderedPageBreak/>
        <w:t xml:space="preserve">teaching  (applies to face-to-face, hybrid, and online courses), evidence of graduate student mentoring  (if applicable), new course development, course revisions, infusion of new methods and/or technologies, evidence of refinement of teaching, development and delivery of professional development (i.e., in-service) workshops, development of new undergraduate, graduate, and/or certificate programs as appropriate/possible. Student Course Evaluation scores consistently below the college’s averages (with consideration for class size, course type, prior experience with teaching the course, etc.). Finally, the attainments for the year would not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0B82A902" w14:textId="77777777" w:rsidR="00752D14" w:rsidRPr="00D626B8" w:rsidRDefault="00752D14" w:rsidP="0017430C">
      <w:pPr>
        <w:widowControl w:val="0"/>
        <w:spacing w:line="240" w:lineRule="auto"/>
        <w:ind w:left="1440" w:right="1440"/>
        <w:rPr>
          <w:rFonts w:ascii="Times New Roman" w:eastAsia="Times New Roman" w:hAnsi="Times New Roman" w:cs="Times New Roman"/>
          <w:sz w:val="24"/>
          <w:szCs w:val="24"/>
        </w:rPr>
      </w:pPr>
    </w:p>
    <w:p w14:paraId="2E9A7550" w14:textId="099C349B" w:rsidR="00752D14" w:rsidRDefault="0035498F" w:rsidP="0017430C">
      <w:pPr>
        <w:pStyle w:val="Heading3"/>
        <w:widowControl w:val="0"/>
        <w:spacing w:before="0" w:after="0" w:line="240" w:lineRule="auto"/>
        <w:ind w:left="1440" w:right="1440"/>
        <w:rPr>
          <w:rFonts w:ascii="Times New Roman" w:eastAsia="Times New Roman" w:hAnsi="Times New Roman" w:cs="Times New Roman"/>
        </w:rPr>
      </w:pPr>
      <w:bookmarkStart w:id="22" w:name="_3as4poj" w:colFirst="0" w:colLast="0"/>
      <w:bookmarkEnd w:id="22"/>
      <w:r w:rsidRPr="00E54420">
        <w:rPr>
          <w:rFonts w:ascii="Times New Roman" w:eastAsia="Times New Roman" w:hAnsi="Times New Roman" w:cs="Times New Roman"/>
        </w:rPr>
        <w:t>3.2.3 Evaluation Criteria and Indicators for Service</w:t>
      </w:r>
    </w:p>
    <w:p w14:paraId="52570AE3" w14:textId="77777777" w:rsidR="00E928E6" w:rsidRPr="00E928E6" w:rsidRDefault="00E928E6" w:rsidP="00E928E6"/>
    <w:p w14:paraId="0CB45533" w14:textId="01A0BE13" w:rsidR="00752D14" w:rsidRDefault="0035498F" w:rsidP="0017430C">
      <w:pPr>
        <w:widowControl w:val="0"/>
        <w:spacing w:line="240" w:lineRule="auto"/>
        <w:ind w:left="144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Faculty service work is evaluated on a 5-point </w:t>
      </w:r>
      <w:r w:rsidR="00A5246B">
        <w:rPr>
          <w:rFonts w:ascii="Times New Roman" w:eastAsia="Times New Roman" w:hAnsi="Times New Roman" w:cs="Times New Roman"/>
          <w:sz w:val="24"/>
          <w:szCs w:val="24"/>
        </w:rPr>
        <w:t xml:space="preserve">numerical </w:t>
      </w:r>
      <w:r w:rsidRPr="00D626B8">
        <w:rPr>
          <w:rFonts w:ascii="Times New Roman" w:eastAsia="Times New Roman" w:hAnsi="Times New Roman" w:cs="Times New Roman"/>
          <w:sz w:val="24"/>
          <w:szCs w:val="24"/>
        </w:rPr>
        <w:t>scale as follows:</w:t>
      </w:r>
    </w:p>
    <w:p w14:paraId="3EF31D49" w14:textId="48542C7F" w:rsidR="00E45D1C"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5 - Responsibilities of the position exceeded in a sustained and outstanding manner </w:t>
      </w:r>
    </w:p>
    <w:p w14:paraId="7D353135" w14:textId="43B44F1B" w:rsidR="00752D14" w:rsidRPr="00D626B8" w:rsidRDefault="0035498F" w:rsidP="00E54420">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5,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had ratings of 4 (or 5) for each of the past two years and the rating for this year must be sufficient to warrant a rating of 5. A clear pattern of exceptional service that reflects impact, influence</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or contribution to the field would have been exhibited. Accomplishments would have included, but would not have been limited to program, division, college, university, professional, and public or community service.  Examples include serving as a leader on college, university, or professional organization committees including efforts leading to recognition of MLFTC programs; mentoring of other faculty in the college; refereed journal associate editorship and/or refereed journal reviewer; leadership in national, regional, state, and/or professional associations, educational agencies and organizations. Leadership on committees, task forces, etc. more likely would be expected from senior faculty members. Membership on committees, task forces, etc. more likely would be seen among junior faculty members. Finally, the attainments for the year would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7CADBA7B" w14:textId="5EDF6439" w:rsidR="00752D14" w:rsidRPr="00E54420" w:rsidRDefault="0035498F" w:rsidP="00E54420">
      <w:pPr>
        <w:pStyle w:val="ListParagraph"/>
        <w:widowControl w:val="0"/>
        <w:spacing w:line="240" w:lineRule="auto"/>
        <w:ind w:left="1800" w:right="1440"/>
        <w:rPr>
          <w:rFonts w:ascii="Times New Roman" w:eastAsia="Times New Roman" w:hAnsi="Times New Roman" w:cs="Times New Roman"/>
          <w:sz w:val="24"/>
          <w:szCs w:val="24"/>
        </w:rPr>
      </w:pPr>
      <w:r w:rsidRPr="00E54420">
        <w:rPr>
          <w:rFonts w:ascii="Times New Roman" w:eastAsia="Times New Roman" w:hAnsi="Times New Roman" w:cs="Times New Roman"/>
          <w:sz w:val="24"/>
          <w:szCs w:val="24"/>
        </w:rPr>
        <w:t xml:space="preserve">4 - Responsibilities of the position exceeded </w:t>
      </w:r>
    </w:p>
    <w:p w14:paraId="2FD8072E" w14:textId="774B8E4E" w:rsidR="00752D14" w:rsidRPr="00D626B8" w:rsidRDefault="0035498F" w:rsidP="004E1589">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4,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demonstrated a clear pattern of excellent service that reflects impact, influence</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or contribution to the field would have been exhibited. Accomplishments would have included but would not have been limited to a mix of program, college, university, professional, and public or community service. Examples include serving as a leader on program, division, college, university, or professional organization committees including efforts leading to recognition of MLFTC programs; mentoring of other faculty in the college; refereed journal associate editorship and/or refereed journal reviewer; leadership in national, regional, state, and/or professional associations, educational agencies and organizations. Leadership on committees, task forces, etc. more likely would be seen among senior faculty members. Membership on committees, task forces, etc. more likely would be seen among junior faculty members. Finally, the attainments for the year would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0D984B5A" w14:textId="355C03C9" w:rsidR="00752D14" w:rsidRPr="004E1589" w:rsidRDefault="0035498F" w:rsidP="004E1589">
      <w:pPr>
        <w:pStyle w:val="ListParagraph"/>
        <w:widowControl w:val="0"/>
        <w:spacing w:line="240" w:lineRule="auto"/>
        <w:ind w:left="1800" w:right="1440"/>
        <w:rPr>
          <w:rFonts w:ascii="Times New Roman" w:eastAsia="Times New Roman" w:hAnsi="Times New Roman" w:cs="Times New Roman"/>
          <w:sz w:val="24"/>
          <w:szCs w:val="24"/>
        </w:rPr>
      </w:pPr>
      <w:r w:rsidRPr="004E1589">
        <w:rPr>
          <w:rFonts w:ascii="Times New Roman" w:eastAsia="Times New Roman" w:hAnsi="Times New Roman" w:cs="Times New Roman"/>
          <w:sz w:val="24"/>
          <w:szCs w:val="24"/>
        </w:rPr>
        <w:t xml:space="preserve">3 - Responsibilities of the position fulfilled </w:t>
      </w:r>
    </w:p>
    <w:p w14:paraId="268F74CB" w14:textId="289F3BD3" w:rsidR="00752D14" w:rsidRPr="00D626B8" w:rsidRDefault="0035498F" w:rsidP="004E1589">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3,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demonstrated a clear pattern of appropriate service that reflects impact, influence</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or contribution to the field would </w:t>
      </w:r>
      <w:r w:rsidRPr="00D626B8">
        <w:rPr>
          <w:rFonts w:ascii="Times New Roman" w:eastAsia="Times New Roman" w:hAnsi="Times New Roman" w:cs="Times New Roman"/>
          <w:sz w:val="24"/>
          <w:szCs w:val="24"/>
        </w:rPr>
        <w:lastRenderedPageBreak/>
        <w:t xml:space="preserve">have been exhibited. Accomplishments would have included but would not have been limited to a mix of program, division, college, university, professional, and public or community service. Examples of evidence may include some of the following: Serving as a leader on program, college, university, or professional organization committees including efforts leading to recognition of MLFTC programs; mentoring of other faculty in the college; refereed journal associate editorship and/or refereed journal reviewer; leadership in national, regional, state, and/or professional associations, educational agencies and organizations. Leadership on committees, task forces, etc. more likely would be seen among senior faculty members. Membership on committees, task forces, etc. more likely would be seen among junior faculty members. Finally, the attainments for the year would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688052F4" w14:textId="20947780" w:rsidR="00752D14" w:rsidRPr="004E1589" w:rsidRDefault="0035498F" w:rsidP="004E1589">
      <w:pPr>
        <w:pStyle w:val="ListParagraph"/>
        <w:widowControl w:val="0"/>
        <w:spacing w:line="240" w:lineRule="auto"/>
        <w:ind w:left="1800" w:right="1440"/>
        <w:rPr>
          <w:rFonts w:ascii="Times New Roman" w:eastAsia="Times New Roman" w:hAnsi="Times New Roman" w:cs="Times New Roman"/>
          <w:sz w:val="24"/>
          <w:szCs w:val="24"/>
        </w:rPr>
      </w:pPr>
      <w:r w:rsidRPr="004E1589">
        <w:rPr>
          <w:rFonts w:ascii="Times New Roman" w:eastAsia="Times New Roman" w:hAnsi="Times New Roman" w:cs="Times New Roman"/>
          <w:sz w:val="24"/>
          <w:szCs w:val="24"/>
        </w:rPr>
        <w:t xml:space="preserve">2 - Responsibilities of the position marginally fulfilled </w:t>
      </w:r>
    </w:p>
    <w:p w14:paraId="1DFB5839" w14:textId="7FC6E04B" w:rsidR="00752D14" w:rsidRPr="00D626B8" w:rsidRDefault="0035498F" w:rsidP="004E1589">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2,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would have demonstrated only a modest amount of service that reflects impact, influence</w:t>
      </w:r>
      <w:r w:rsidR="00BE624D">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or contribution to the field. Service (and leadership within that) would have been limited in terms of quantity and quality, across the program, division, college</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and/or the profession levels. Additionally, the attainments for the year would not have been 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upon goals for the period.  </w:t>
      </w:r>
    </w:p>
    <w:p w14:paraId="4E7446AB" w14:textId="18BBCEC1" w:rsidR="00752D14" w:rsidRPr="004E1589" w:rsidRDefault="0035498F" w:rsidP="004E1589">
      <w:pPr>
        <w:pStyle w:val="ListParagraph"/>
        <w:widowControl w:val="0"/>
        <w:spacing w:line="240" w:lineRule="auto"/>
        <w:ind w:left="1800" w:right="1440"/>
        <w:rPr>
          <w:rFonts w:ascii="Times New Roman" w:eastAsia="Times New Roman" w:hAnsi="Times New Roman" w:cs="Times New Roman"/>
          <w:sz w:val="24"/>
          <w:szCs w:val="24"/>
        </w:rPr>
      </w:pPr>
      <w:r w:rsidRPr="004E1589">
        <w:rPr>
          <w:rFonts w:ascii="Times New Roman" w:eastAsia="Times New Roman" w:hAnsi="Times New Roman" w:cs="Times New Roman"/>
          <w:sz w:val="24"/>
          <w:szCs w:val="24"/>
        </w:rPr>
        <w:t xml:space="preserve">1 - Unsatisfactory—Responsibilities of the position not fulfilled </w:t>
      </w:r>
    </w:p>
    <w:p w14:paraId="5DC7DE4B" w14:textId="0B97AADD" w:rsidR="00752D14" w:rsidRDefault="0035498F" w:rsidP="004E1589">
      <w:pPr>
        <w:widowControl w:val="0"/>
        <w:spacing w:line="240" w:lineRule="auto"/>
        <w:ind w:left="252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 xml:space="preserve">To attain a rating of 1, the </w:t>
      </w:r>
      <w:r w:rsidR="00B96993" w:rsidRPr="00B96993">
        <w:rPr>
          <w:rFonts w:ascii="Times New Roman" w:eastAsia="Times New Roman" w:hAnsi="Times New Roman" w:cs="Times New Roman"/>
          <w:color w:val="000000" w:themeColor="text1"/>
          <w:sz w:val="24"/>
          <w:szCs w:val="24"/>
        </w:rPr>
        <w:t xml:space="preserve">faculty member </w:t>
      </w:r>
      <w:r w:rsidRPr="00D626B8">
        <w:rPr>
          <w:rFonts w:ascii="Times New Roman" w:eastAsia="Times New Roman" w:hAnsi="Times New Roman" w:cs="Times New Roman"/>
          <w:sz w:val="24"/>
          <w:szCs w:val="24"/>
        </w:rPr>
        <w:t xml:space="preserve">would have demonstrated minimal to no service engagement of any kind. Additionally, the attainments for the year would have been inconsistent with </w:t>
      </w:r>
      <w:r w:rsidR="00963F17">
        <w:rPr>
          <w:rFonts w:ascii="Times New Roman" w:eastAsia="Times New Roman" w:hAnsi="Times New Roman" w:cs="Times New Roman"/>
          <w:sz w:val="24"/>
          <w:szCs w:val="24"/>
        </w:rPr>
        <w:t xml:space="preserve">the </w:t>
      </w:r>
      <w:r w:rsidRPr="00D626B8">
        <w:rPr>
          <w:rFonts w:ascii="Times New Roman" w:eastAsia="Times New Roman" w:hAnsi="Times New Roman" w:cs="Times New Roman"/>
          <w:sz w:val="24"/>
          <w:szCs w:val="24"/>
        </w:rPr>
        <w:t>stated and agreed</w:t>
      </w:r>
      <w:r w:rsidR="00963F17">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upon goals for the period.</w:t>
      </w:r>
    </w:p>
    <w:p w14:paraId="5547FCF8" w14:textId="77777777" w:rsidR="004E1589" w:rsidRPr="00D626B8" w:rsidRDefault="004E1589" w:rsidP="004E1589">
      <w:pPr>
        <w:widowControl w:val="0"/>
        <w:spacing w:line="240" w:lineRule="auto"/>
        <w:ind w:left="2520" w:right="1440"/>
        <w:rPr>
          <w:rFonts w:ascii="Times New Roman" w:eastAsia="Times New Roman" w:hAnsi="Times New Roman" w:cs="Times New Roman"/>
          <w:sz w:val="24"/>
          <w:szCs w:val="24"/>
        </w:rPr>
      </w:pPr>
    </w:p>
    <w:p w14:paraId="147835D7" w14:textId="77777777" w:rsidR="004E1589" w:rsidRDefault="0035498F" w:rsidP="0017430C">
      <w:pPr>
        <w:pStyle w:val="Heading2"/>
        <w:spacing w:before="0" w:after="0" w:line="240" w:lineRule="auto"/>
        <w:ind w:left="1440" w:right="1440"/>
        <w:rPr>
          <w:rFonts w:ascii="Times New Roman" w:eastAsia="Times New Roman" w:hAnsi="Times New Roman" w:cs="Times New Roman"/>
          <w:sz w:val="48"/>
          <w:szCs w:val="48"/>
        </w:rPr>
      </w:pPr>
      <w:bookmarkStart w:id="23" w:name="_1pxezwc" w:colFirst="0" w:colLast="0"/>
      <w:bookmarkEnd w:id="23"/>
      <w:r>
        <w:rPr>
          <w:rFonts w:ascii="Times New Roman" w:eastAsia="Times New Roman" w:hAnsi="Times New Roman" w:cs="Times New Roman"/>
          <w:sz w:val="48"/>
          <w:szCs w:val="48"/>
        </w:rPr>
        <w:t xml:space="preserve">4.0 Processes for </w:t>
      </w:r>
      <w:r w:rsidR="004E1589">
        <w:rPr>
          <w:rFonts w:ascii="Times New Roman" w:eastAsia="Times New Roman" w:hAnsi="Times New Roman" w:cs="Times New Roman"/>
          <w:sz w:val="48"/>
          <w:szCs w:val="48"/>
        </w:rPr>
        <w:t>TTE</w:t>
      </w:r>
      <w:r>
        <w:rPr>
          <w:rFonts w:ascii="Times New Roman" w:eastAsia="Times New Roman" w:hAnsi="Times New Roman" w:cs="Times New Roman"/>
          <w:sz w:val="48"/>
          <w:szCs w:val="48"/>
        </w:rPr>
        <w:t xml:space="preserve"> Faculty</w:t>
      </w:r>
    </w:p>
    <w:p w14:paraId="57A7CAB9" w14:textId="0398B584" w:rsidR="00752D14" w:rsidRPr="004E1589" w:rsidRDefault="0035498F" w:rsidP="0017430C">
      <w:pPr>
        <w:pStyle w:val="Heading2"/>
        <w:spacing w:before="0" w:after="0" w:line="240" w:lineRule="auto"/>
        <w:ind w:left="1440" w:right="1440"/>
        <w:rPr>
          <w:rFonts w:ascii="Times New Roman" w:eastAsia="Times New Roman" w:hAnsi="Times New Roman" w:cs="Times New Roman"/>
          <w:sz w:val="24"/>
          <w:szCs w:val="24"/>
        </w:rPr>
      </w:pPr>
      <w:r w:rsidRPr="004E1589">
        <w:rPr>
          <w:rFonts w:ascii="Times New Roman" w:eastAsia="Times New Roman" w:hAnsi="Times New Roman" w:cs="Times New Roman"/>
          <w:sz w:val="24"/>
          <w:szCs w:val="24"/>
        </w:rPr>
        <w:t xml:space="preserve"> </w:t>
      </w:r>
    </w:p>
    <w:p w14:paraId="5B18EF20" w14:textId="489ACB0A"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24" w:name="_3v24noeovbcc" w:colFirst="0" w:colLast="0"/>
      <w:bookmarkEnd w:id="24"/>
      <w:r>
        <w:rPr>
          <w:rFonts w:ascii="Times New Roman" w:eastAsia="Times New Roman" w:hAnsi="Times New Roman" w:cs="Times New Roman"/>
        </w:rPr>
        <w:t>4.1 Continued Probation for TTE Faculty</w:t>
      </w:r>
    </w:p>
    <w:p w14:paraId="01A814FF" w14:textId="77777777" w:rsidR="004E1589" w:rsidRDefault="004E1589"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669A893F" w14:textId="54829F73"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recommendation for continued probation is based on a </w:t>
      </w:r>
      <w:r w:rsidR="009719F8">
        <w:rPr>
          <w:rFonts w:ascii="Times New Roman" w:eastAsia="Times New Roman" w:hAnsi="Times New Roman" w:cs="Times New Roman"/>
          <w:color w:val="000000"/>
          <w:sz w:val="24"/>
          <w:szCs w:val="24"/>
        </w:rPr>
        <w:t>tenured</w:t>
      </w:r>
      <w:r>
        <w:rPr>
          <w:rFonts w:ascii="Times New Roman" w:eastAsia="Times New Roman" w:hAnsi="Times New Roman" w:cs="Times New Roman"/>
          <w:color w:val="000000"/>
          <w:sz w:val="24"/>
          <w:szCs w:val="24"/>
        </w:rPr>
        <w:t xml:space="preserve"> faculty member’s cumulative accomplishment. The recommendations for continued probation by the TTE PEC </w:t>
      </w:r>
      <w:r w:rsidRPr="00D626B8">
        <w:rPr>
          <w:rFonts w:ascii="Times New Roman" w:eastAsia="Times New Roman" w:hAnsi="Times New Roman" w:cs="Times New Roman"/>
          <w:sz w:val="24"/>
          <w:szCs w:val="24"/>
        </w:rPr>
        <w:t xml:space="preserve">and vice deans </w:t>
      </w:r>
      <w:r>
        <w:rPr>
          <w:rFonts w:ascii="Times New Roman" w:eastAsia="Times New Roman" w:hAnsi="Times New Roman" w:cs="Times New Roman"/>
          <w:color w:val="000000"/>
          <w:sz w:val="24"/>
          <w:szCs w:val="24"/>
        </w:rPr>
        <w:t xml:space="preserve">should be made </w:t>
      </w:r>
      <w:r w:rsidR="00641879">
        <w:rPr>
          <w:rFonts w:ascii="Times New Roman" w:eastAsia="Times New Roman" w:hAnsi="Times New Roman" w:cs="Times New Roman"/>
          <w:color w:val="000000"/>
          <w:sz w:val="24"/>
          <w:szCs w:val="24"/>
        </w:rPr>
        <w:t>based on</w:t>
      </w:r>
      <w:r>
        <w:rPr>
          <w:rFonts w:ascii="Times New Roman" w:eastAsia="Times New Roman" w:hAnsi="Times New Roman" w:cs="Times New Roman"/>
          <w:color w:val="000000"/>
          <w:sz w:val="24"/>
          <w:szCs w:val="24"/>
        </w:rPr>
        <w:t xml:space="preserve"> accomplishments by the faculty member in keeping with the SoA and appropriate for continued probation. The </w:t>
      </w:r>
      <w:r w:rsidR="00BE624D">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faculty member</w:t>
      </w:r>
      <w:r w:rsidR="00C610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record of achievement in scholarship, teaching, and service must forecast continued high levels of accomplishment in these three areas over an academic career. </w:t>
      </w:r>
    </w:p>
    <w:p w14:paraId="67B62D3A" w14:textId="77777777" w:rsidR="00BE624D" w:rsidRDefault="00BE624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519021EF" w14:textId="57D70EEC" w:rsidR="00752D14" w:rsidRPr="00EE3450"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See </w:t>
      </w:r>
      <w:r w:rsidR="00102DC9">
        <w:rPr>
          <w:rFonts w:ascii="Times New Roman" w:eastAsia="Times New Roman" w:hAnsi="Times New Roman" w:cs="Times New Roman"/>
          <w:color w:val="000000"/>
          <w:sz w:val="24"/>
          <w:szCs w:val="24"/>
        </w:rPr>
        <w:t>the ASU</w:t>
      </w:r>
      <w:r>
        <w:rPr>
          <w:rFonts w:ascii="Times New Roman" w:eastAsia="Times New Roman" w:hAnsi="Times New Roman" w:cs="Times New Roman"/>
          <w:color w:val="000000"/>
          <w:sz w:val="24"/>
          <w:szCs w:val="24"/>
        </w:rPr>
        <w:t xml:space="preserve"> </w:t>
      </w:r>
      <w:r w:rsidR="00102DC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rovost's "</w:t>
      </w:r>
      <w:hyperlink r:id="rId48">
        <w:r w:rsidRPr="00EE3450">
          <w:rPr>
            <w:rFonts w:ascii="Times New Roman" w:eastAsia="Times New Roman" w:hAnsi="Times New Roman" w:cs="Times New Roman"/>
            <w:color w:val="0000FF"/>
            <w:sz w:val="24"/>
            <w:szCs w:val="24"/>
            <w:u w:val="single"/>
          </w:rPr>
          <w:t>Personnel Processes</w:t>
        </w:r>
      </w:hyperlink>
      <w:r>
        <w:rPr>
          <w:rFonts w:ascii="Times New Roman" w:eastAsia="Times New Roman" w:hAnsi="Times New Roman" w:cs="Times New Roman"/>
          <w:color w:val="000000"/>
          <w:sz w:val="24"/>
          <w:szCs w:val="24"/>
        </w:rPr>
        <w:t xml:space="preserve">" site and look under Faculty Process Guides for more information. See also </w:t>
      </w:r>
      <w:hyperlink r:id="rId49">
        <w:r w:rsidRPr="00EE3450">
          <w:rPr>
            <w:rFonts w:ascii="Times New Roman" w:eastAsia="Times New Roman" w:hAnsi="Times New Roman" w:cs="Times New Roman"/>
            <w:color w:val="0000FF"/>
            <w:sz w:val="24"/>
            <w:szCs w:val="24"/>
            <w:u w:val="single"/>
          </w:rPr>
          <w:t>https://provost.asu.edu/policies/procedures/p3</w:t>
        </w:r>
      </w:hyperlink>
      <w:r>
        <w:rPr>
          <w:rFonts w:ascii="Times New Roman" w:eastAsia="Times New Roman" w:hAnsi="Times New Roman" w:cs="Times New Roman"/>
          <w:color w:val="000000"/>
          <w:sz w:val="24"/>
          <w:szCs w:val="24"/>
        </w:rPr>
        <w:t xml:space="preserve"> and </w:t>
      </w:r>
      <w:hyperlink r:id="rId50">
        <w:r w:rsidRPr="00EE3450">
          <w:rPr>
            <w:rFonts w:ascii="Times New Roman" w:eastAsia="Times New Roman" w:hAnsi="Times New Roman" w:cs="Times New Roman"/>
            <w:color w:val="0000FF"/>
            <w:sz w:val="24"/>
            <w:szCs w:val="24"/>
            <w:u w:val="single"/>
          </w:rPr>
          <w:t>ACD 506–03: Faculty Probationary Appointments</w:t>
        </w:r>
      </w:hyperlink>
      <w:r w:rsidRPr="00EE3450">
        <w:rPr>
          <w:rFonts w:ascii="Times New Roman" w:eastAsia="Times New Roman" w:hAnsi="Times New Roman" w:cs="Times New Roman"/>
          <w:color w:val="0000FF"/>
          <w:sz w:val="24"/>
          <w:szCs w:val="24"/>
        </w:rPr>
        <w:t xml:space="preserve"> </w:t>
      </w:r>
    </w:p>
    <w:p w14:paraId="2A80F11A" w14:textId="77777777" w:rsidR="00BE624D" w:rsidRDefault="00BE624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p>
    <w:p w14:paraId="2172A4D1" w14:textId="756C2954"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25" w:name="_49x2ik5" w:colFirst="0" w:colLast="0"/>
      <w:bookmarkEnd w:id="25"/>
      <w:r>
        <w:rPr>
          <w:rFonts w:ascii="Times New Roman" w:eastAsia="Times New Roman" w:hAnsi="Times New Roman" w:cs="Times New Roman"/>
        </w:rPr>
        <w:t xml:space="preserve">4.2 Promotion and </w:t>
      </w:r>
      <w:r w:rsidR="007271FE">
        <w:rPr>
          <w:rFonts w:ascii="Times New Roman" w:eastAsia="Times New Roman" w:hAnsi="Times New Roman" w:cs="Times New Roman"/>
        </w:rPr>
        <w:t>TTE</w:t>
      </w:r>
      <w:r>
        <w:rPr>
          <w:rFonts w:ascii="Times New Roman" w:eastAsia="Times New Roman" w:hAnsi="Times New Roman" w:cs="Times New Roman"/>
        </w:rPr>
        <w:t xml:space="preserve"> Faculty </w:t>
      </w:r>
    </w:p>
    <w:p w14:paraId="0C2CE916" w14:textId="77777777" w:rsidR="00BE624D" w:rsidRDefault="00BE624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4629BB58" w14:textId="7064560A"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compliance with ABOR and ASU’s ACD procedures</w:t>
      </w:r>
      <w:r w:rsidRPr="00D626B8">
        <w:rPr>
          <w:rFonts w:ascii="Times New Roman" w:eastAsia="Times New Roman" w:hAnsi="Times New Roman" w:cs="Times New Roman"/>
          <w:sz w:val="24"/>
          <w:szCs w:val="24"/>
        </w:rPr>
        <w:t xml:space="preserve">, </w:t>
      </w:r>
      <w:r w:rsidR="00A51A4B">
        <w:rPr>
          <w:rFonts w:ascii="Times New Roman" w:eastAsia="Times New Roman" w:hAnsi="Times New Roman" w:cs="Times New Roman"/>
          <w:sz w:val="24"/>
          <w:szCs w:val="24"/>
        </w:rPr>
        <w:t>tenure-eligible</w:t>
      </w:r>
      <w:r w:rsidRPr="00D626B8">
        <w:rPr>
          <w:rFonts w:ascii="Times New Roman" w:eastAsia="Times New Roman" w:hAnsi="Times New Roman" w:cs="Times New Roman"/>
          <w:sz w:val="24"/>
          <w:szCs w:val="24"/>
        </w:rPr>
        <w:t xml:space="preserve"> faculty members </w:t>
      </w:r>
      <w:r w:rsidR="00BE624D" w:rsidRPr="00D626B8">
        <w:rPr>
          <w:rFonts w:ascii="Times New Roman" w:eastAsia="Times New Roman" w:hAnsi="Times New Roman" w:cs="Times New Roman"/>
          <w:sz w:val="24"/>
          <w:szCs w:val="24"/>
        </w:rPr>
        <w:t>can</w:t>
      </w:r>
      <w:r w:rsidRPr="00D626B8">
        <w:rPr>
          <w:rFonts w:ascii="Times New Roman" w:eastAsia="Times New Roman" w:hAnsi="Times New Roman" w:cs="Times New Roman"/>
          <w:sz w:val="24"/>
          <w:szCs w:val="24"/>
        </w:rPr>
        <w:t xml:space="preserve"> submit a portfolio for </w:t>
      </w:r>
      <w:r w:rsidR="00C61003">
        <w:rPr>
          <w:rFonts w:ascii="Times New Roman" w:eastAsia="Times New Roman" w:hAnsi="Times New Roman" w:cs="Times New Roman"/>
          <w:sz w:val="24"/>
          <w:szCs w:val="24"/>
        </w:rPr>
        <w:t xml:space="preserve">tenure and </w:t>
      </w:r>
      <w:r w:rsidRPr="00D626B8">
        <w:rPr>
          <w:rFonts w:ascii="Times New Roman" w:eastAsia="Times New Roman" w:hAnsi="Times New Roman" w:cs="Times New Roman"/>
          <w:sz w:val="24"/>
          <w:szCs w:val="24"/>
        </w:rPr>
        <w:t xml:space="preserve">promotion. The recommendation for tenure should be made </w:t>
      </w:r>
      <w:r w:rsidR="00BE624D" w:rsidRPr="00D626B8">
        <w:rPr>
          <w:rFonts w:ascii="Times New Roman" w:eastAsia="Times New Roman" w:hAnsi="Times New Roman" w:cs="Times New Roman"/>
          <w:sz w:val="24"/>
          <w:szCs w:val="24"/>
        </w:rPr>
        <w:t>based on</w:t>
      </w:r>
      <w:r w:rsidRPr="00D626B8">
        <w:rPr>
          <w:rFonts w:ascii="Times New Roman" w:eastAsia="Times New Roman" w:hAnsi="Times New Roman" w:cs="Times New Roman"/>
          <w:sz w:val="24"/>
          <w:szCs w:val="24"/>
        </w:rPr>
        <w:t xml:space="preserve"> accomplishment in scholarship, teaching, and service as delineated in the SoA</w:t>
      </w:r>
      <w:r w:rsidR="00BE624D">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 and </w:t>
      </w:r>
      <w:hyperlink r:id="rId51" w:history="1">
        <w:r w:rsidR="00BE624D" w:rsidRPr="000D7D8D">
          <w:rPr>
            <w:rStyle w:val="Hyperlink"/>
            <w:rFonts w:ascii="Times New Roman" w:eastAsia="Times New Roman" w:hAnsi="Times New Roman" w:cs="Times New Roman"/>
            <w:sz w:val="24"/>
            <w:szCs w:val="24"/>
          </w:rPr>
          <w:t>ACD 506-05</w:t>
        </w:r>
      </w:hyperlink>
      <w:r w:rsidR="00BE624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record must be consistent and forecast continued accomplishment. The recommendation for promotion to associate professor must include a recommendation for tenure. Similarly, a recommendation for tenure must include a recommendation for promotio</w:t>
      </w:r>
      <w:r>
        <w:rPr>
          <w:rFonts w:ascii="Times New Roman" w:eastAsia="Times New Roman" w:hAnsi="Times New Roman" w:cs="Times New Roman"/>
          <w:sz w:val="24"/>
          <w:szCs w:val="24"/>
        </w:rPr>
        <w:t xml:space="preserve">n. In addition, the recommendation for promotion with tenure must never be made </w:t>
      </w:r>
      <w:r w:rsidR="00BE624D">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time in rank. Granting promotion with tenure signifies that a </w:t>
      </w:r>
      <w:r w:rsidR="00A51A4B">
        <w:rPr>
          <w:rFonts w:ascii="Times New Roman" w:eastAsia="Times New Roman" w:hAnsi="Times New Roman" w:cs="Times New Roman"/>
          <w:sz w:val="24"/>
          <w:szCs w:val="24"/>
        </w:rPr>
        <w:t>tenure-eligible</w:t>
      </w:r>
      <w:r>
        <w:rPr>
          <w:rFonts w:ascii="Times New Roman" w:eastAsia="Times New Roman" w:hAnsi="Times New Roman" w:cs="Times New Roman"/>
          <w:sz w:val="24"/>
          <w:szCs w:val="24"/>
        </w:rPr>
        <w:t xml:space="preserve"> faculty member is expected to continue to produce high levels of performance in scholarship, teaching, and service as further specified in the SoA</w:t>
      </w:r>
      <w:r w:rsidR="00BE62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73D27BC6" w14:textId="77777777" w:rsidR="00BE624D" w:rsidRDefault="00BE624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4A04FB81" w14:textId="5B041D52"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Tenure is recommended in the context of college, division, and programmatic needs, and </w:t>
      </w:r>
      <w:r w:rsidR="00A51A4B">
        <w:rPr>
          <w:rFonts w:ascii="Times New Roman" w:eastAsia="Times New Roman" w:hAnsi="Times New Roman" w:cs="Times New Roman"/>
          <w:color w:val="000000"/>
          <w:sz w:val="24"/>
          <w:szCs w:val="24"/>
        </w:rPr>
        <w:t>based on</w:t>
      </w:r>
      <w:r>
        <w:rPr>
          <w:rFonts w:ascii="Times New Roman" w:eastAsia="Times New Roman" w:hAnsi="Times New Roman" w:cs="Times New Roman"/>
          <w:color w:val="000000"/>
          <w:sz w:val="24"/>
          <w:szCs w:val="24"/>
        </w:rPr>
        <w:t xml:space="preserve"> demonstrated excellence and the anticipation of continued excellence. </w:t>
      </w:r>
      <w:r w:rsidRPr="00D626B8">
        <w:rPr>
          <w:rFonts w:ascii="Times New Roman" w:eastAsia="Times New Roman" w:hAnsi="Times New Roman" w:cs="Times New Roman"/>
          <w:sz w:val="24"/>
          <w:szCs w:val="24"/>
        </w:rPr>
        <w:t xml:space="preserve">Demonstrated excellence prior to becoming a </w:t>
      </w:r>
      <w:r w:rsidR="00A51A4B">
        <w:rPr>
          <w:rFonts w:ascii="Times New Roman" w:eastAsia="Times New Roman" w:hAnsi="Times New Roman" w:cs="Times New Roman"/>
          <w:sz w:val="24"/>
          <w:szCs w:val="24"/>
        </w:rPr>
        <w:t xml:space="preserve">tenure-eligible </w:t>
      </w:r>
      <w:r w:rsidRPr="00D626B8">
        <w:rPr>
          <w:rFonts w:ascii="Times New Roman" w:eastAsia="Times New Roman" w:hAnsi="Times New Roman" w:cs="Times New Roman"/>
          <w:sz w:val="24"/>
          <w:szCs w:val="24"/>
        </w:rPr>
        <w:t xml:space="preserve">faculty member at ASU is acknowledged and is important, but greater emphasis will be placed on demonstrated excellence while at ASU. </w:t>
      </w:r>
      <w:r>
        <w:rPr>
          <w:rFonts w:ascii="Times New Roman" w:eastAsia="Times New Roman" w:hAnsi="Times New Roman" w:cs="Times New Roman"/>
          <w:color w:val="000000"/>
          <w:sz w:val="24"/>
          <w:szCs w:val="24"/>
        </w:rPr>
        <w:t xml:space="preserve">The </w:t>
      </w:r>
      <w:r w:rsidR="00A51A4B">
        <w:rPr>
          <w:rFonts w:ascii="Times New Roman" w:eastAsia="Times New Roman" w:hAnsi="Times New Roman" w:cs="Times New Roman"/>
          <w:color w:val="000000"/>
          <w:sz w:val="24"/>
          <w:szCs w:val="24"/>
        </w:rPr>
        <w:t xml:space="preserve">ASU </w:t>
      </w:r>
      <w:r>
        <w:rPr>
          <w:rFonts w:ascii="Times New Roman" w:eastAsia="Times New Roman" w:hAnsi="Times New Roman" w:cs="Times New Roman"/>
          <w:color w:val="000000"/>
          <w:sz w:val="24"/>
          <w:szCs w:val="24"/>
        </w:rPr>
        <w:t xml:space="preserve">provost is responsible for promulgating the overall institutional processes for </w:t>
      </w:r>
      <w:r w:rsidR="00963F1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review of faculty members for promotion and tenure. In the event of any direct conflict between the processes described herein for promotion and tenure and those processes declared by </w:t>
      </w:r>
      <w:r w:rsidR="00A51A4B">
        <w:rPr>
          <w:rFonts w:ascii="Times New Roman" w:eastAsia="Times New Roman" w:hAnsi="Times New Roman" w:cs="Times New Roman"/>
          <w:color w:val="000000"/>
          <w:sz w:val="24"/>
          <w:szCs w:val="24"/>
        </w:rPr>
        <w:t>ASU’s</w:t>
      </w:r>
      <w:r>
        <w:rPr>
          <w:rFonts w:ascii="Times New Roman" w:eastAsia="Times New Roman" w:hAnsi="Times New Roman" w:cs="Times New Roman"/>
          <w:color w:val="000000"/>
          <w:sz w:val="24"/>
          <w:szCs w:val="24"/>
        </w:rPr>
        <w:t xml:space="preserve"> provost’s office, the latter process statements are to take precedence over those described </w:t>
      </w:r>
      <w:r w:rsidRPr="00C61003">
        <w:rPr>
          <w:rFonts w:ascii="Times New Roman" w:eastAsia="Times New Roman" w:hAnsi="Times New Roman" w:cs="Times New Roman"/>
          <w:color w:val="000000" w:themeColor="text1"/>
          <w:sz w:val="24"/>
          <w:szCs w:val="24"/>
        </w:rPr>
        <w:t xml:space="preserve">herein. </w:t>
      </w:r>
    </w:p>
    <w:p w14:paraId="362F80B1"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C316A37" w14:textId="33A6227D"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bookmarkStart w:id="26" w:name="_Hlk128053744"/>
      <w:r w:rsidRPr="00D626B8">
        <w:rPr>
          <w:rFonts w:ascii="Times New Roman" w:eastAsia="Times New Roman" w:hAnsi="Times New Roman" w:cs="Times New Roman"/>
          <w:sz w:val="24"/>
          <w:szCs w:val="24"/>
        </w:rPr>
        <w:t xml:space="preserve">In accordance with the </w:t>
      </w:r>
      <w:hyperlink r:id="rId52" w:anchor="webspark-anchor-link--280">
        <w:r w:rsidRPr="00EE3450">
          <w:rPr>
            <w:rFonts w:ascii="Times New Roman" w:eastAsia="Times New Roman" w:hAnsi="Times New Roman" w:cs="Times New Roman"/>
            <w:color w:val="0000FF"/>
            <w:sz w:val="24"/>
            <w:szCs w:val="24"/>
            <w:u w:val="single"/>
          </w:rPr>
          <w:t>Process Guide for Promotion and Tenure</w:t>
        </w:r>
      </w:hyperlink>
      <w:r w:rsidRPr="00D626B8">
        <w:rPr>
          <w:rFonts w:ascii="Times New Roman" w:eastAsia="Times New Roman" w:hAnsi="Times New Roman" w:cs="Times New Roman"/>
          <w:sz w:val="24"/>
          <w:szCs w:val="24"/>
        </w:rPr>
        <w:t xml:space="preserve">, </w:t>
      </w:r>
      <w:r w:rsidR="00A51A4B">
        <w:rPr>
          <w:rFonts w:ascii="Times New Roman" w:eastAsia="Times New Roman" w:hAnsi="Times New Roman" w:cs="Times New Roman"/>
          <w:sz w:val="24"/>
          <w:szCs w:val="24"/>
        </w:rPr>
        <w:t xml:space="preserve">tenure-eligible </w:t>
      </w:r>
      <w:r w:rsidRPr="00D626B8">
        <w:rPr>
          <w:rFonts w:ascii="Times New Roman" w:eastAsia="Times New Roman" w:hAnsi="Times New Roman" w:cs="Times New Roman"/>
          <w:sz w:val="24"/>
          <w:szCs w:val="24"/>
        </w:rPr>
        <w:t xml:space="preserve">faculty members seeking promotion and tenure must ensure all candidate responsibilities are followed according to the dates provided by MLFTC. Both the </w:t>
      </w:r>
      <w:r w:rsidR="00C61003">
        <w:rPr>
          <w:rFonts w:ascii="Times New Roman" w:eastAsia="Times New Roman" w:hAnsi="Times New Roman" w:cs="Times New Roman"/>
          <w:sz w:val="24"/>
          <w:szCs w:val="24"/>
        </w:rPr>
        <w:t>u</w:t>
      </w:r>
      <w:r w:rsidRPr="00D626B8">
        <w:rPr>
          <w:rFonts w:ascii="Times New Roman" w:eastAsia="Times New Roman" w:hAnsi="Times New Roman" w:cs="Times New Roman"/>
          <w:sz w:val="24"/>
          <w:szCs w:val="24"/>
        </w:rPr>
        <w:t xml:space="preserve">nit (i.e., division) and </w:t>
      </w:r>
      <w:r w:rsidR="00C61003">
        <w:rPr>
          <w:rFonts w:ascii="Times New Roman" w:eastAsia="Times New Roman" w:hAnsi="Times New Roman" w:cs="Times New Roman"/>
          <w:sz w:val="24"/>
          <w:szCs w:val="24"/>
        </w:rPr>
        <w:t>c</w:t>
      </w:r>
      <w:r w:rsidRPr="00D626B8">
        <w:rPr>
          <w:rFonts w:ascii="Times New Roman" w:eastAsia="Times New Roman" w:hAnsi="Times New Roman" w:cs="Times New Roman"/>
          <w:sz w:val="24"/>
          <w:szCs w:val="24"/>
        </w:rPr>
        <w:t xml:space="preserve">ollege will facilitate the multi-step process, with each step serving as an independent recommendation to </w:t>
      </w:r>
      <w:r w:rsidR="00A51A4B">
        <w:rPr>
          <w:rFonts w:ascii="Times New Roman" w:eastAsia="Times New Roman" w:hAnsi="Times New Roman" w:cs="Times New Roman"/>
          <w:sz w:val="24"/>
          <w:szCs w:val="24"/>
        </w:rPr>
        <w:t>ASU’s</w:t>
      </w:r>
      <w:r w:rsidRPr="00D626B8">
        <w:rPr>
          <w:rFonts w:ascii="Times New Roman" w:eastAsia="Times New Roman" w:hAnsi="Times New Roman" w:cs="Times New Roman"/>
          <w:sz w:val="24"/>
          <w:szCs w:val="24"/>
        </w:rPr>
        <w:t xml:space="preserve"> Office of the Executive Vice President and Provost of the University and, ultimately, to the </w:t>
      </w:r>
      <w:r w:rsidR="0098279E">
        <w:rPr>
          <w:rFonts w:ascii="Times New Roman" w:eastAsia="Times New Roman" w:hAnsi="Times New Roman" w:cs="Times New Roman"/>
          <w:sz w:val="24"/>
          <w:szCs w:val="24"/>
        </w:rPr>
        <w:t>ASU p</w:t>
      </w:r>
      <w:r w:rsidRPr="00D626B8">
        <w:rPr>
          <w:rFonts w:ascii="Times New Roman" w:eastAsia="Times New Roman" w:hAnsi="Times New Roman" w:cs="Times New Roman"/>
          <w:sz w:val="24"/>
          <w:szCs w:val="24"/>
        </w:rPr>
        <w:t xml:space="preserve">resident.  </w:t>
      </w:r>
    </w:p>
    <w:p w14:paraId="3A447834" w14:textId="77777777" w:rsidR="00A51A4B" w:rsidRPr="00D626B8"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4EC49E77" w14:textId="4C472ED9"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bookmarkStart w:id="27" w:name="_2p2csry" w:colFirst="0" w:colLast="0"/>
      <w:bookmarkEnd w:id="26"/>
      <w:bookmarkEnd w:id="27"/>
      <w:r w:rsidRPr="00D626B8">
        <w:rPr>
          <w:rFonts w:ascii="Times New Roman" w:eastAsia="Times New Roman" w:hAnsi="Times New Roman" w:cs="Times New Roman"/>
          <w:sz w:val="24"/>
          <w:szCs w:val="24"/>
          <w:highlight w:val="white"/>
        </w:rPr>
        <w:t xml:space="preserve">The identity of the external reviewers is to remain confidential. In addition, the </w:t>
      </w:r>
      <w:r w:rsidRPr="00D626B8">
        <w:rPr>
          <w:rFonts w:ascii="Times New Roman" w:eastAsia="Times New Roman" w:hAnsi="Times New Roman" w:cs="Times New Roman"/>
          <w:sz w:val="24"/>
          <w:szCs w:val="24"/>
        </w:rPr>
        <w:t>candidate</w:t>
      </w:r>
      <w:r w:rsidRPr="00D626B8">
        <w:rPr>
          <w:rFonts w:ascii="Times New Roman" w:eastAsia="Times New Roman" w:hAnsi="Times New Roman" w:cs="Times New Roman"/>
          <w:sz w:val="24"/>
          <w:szCs w:val="24"/>
          <w:highlight w:val="white"/>
        </w:rPr>
        <w:t xml:space="preserve"> is not to have any contact about the tenure case with the reviewers </w:t>
      </w:r>
      <w:r w:rsidR="00A51A4B">
        <w:rPr>
          <w:rFonts w:ascii="Times New Roman" w:eastAsia="Times New Roman" w:hAnsi="Times New Roman" w:cs="Times New Roman"/>
          <w:sz w:val="24"/>
          <w:szCs w:val="24"/>
          <w:highlight w:val="white"/>
        </w:rPr>
        <w:t xml:space="preserve">whom </w:t>
      </w:r>
      <w:r w:rsidRPr="00D626B8">
        <w:rPr>
          <w:rFonts w:ascii="Times New Roman" w:eastAsia="Times New Roman" w:hAnsi="Times New Roman" w:cs="Times New Roman"/>
          <w:sz w:val="24"/>
          <w:szCs w:val="24"/>
          <w:highlight w:val="white"/>
        </w:rPr>
        <w:t xml:space="preserve">the college solicits or the </w:t>
      </w:r>
      <w:r w:rsidR="00A51A4B">
        <w:rPr>
          <w:rFonts w:ascii="Times New Roman" w:eastAsia="Times New Roman" w:hAnsi="Times New Roman" w:cs="Times New Roman"/>
          <w:sz w:val="24"/>
          <w:szCs w:val="24"/>
        </w:rPr>
        <w:t xml:space="preserve">tenure-eligible </w:t>
      </w:r>
      <w:r w:rsidRPr="00D626B8">
        <w:rPr>
          <w:rFonts w:ascii="Times New Roman" w:eastAsia="Times New Roman" w:hAnsi="Times New Roman" w:cs="Times New Roman"/>
          <w:sz w:val="24"/>
          <w:szCs w:val="24"/>
        </w:rPr>
        <w:t>member</w:t>
      </w:r>
      <w:r w:rsidRPr="00D626B8">
        <w:rPr>
          <w:rFonts w:ascii="Times New Roman" w:eastAsia="Times New Roman" w:hAnsi="Times New Roman" w:cs="Times New Roman"/>
          <w:sz w:val="24"/>
          <w:szCs w:val="24"/>
          <w:highlight w:val="white"/>
        </w:rPr>
        <w:t xml:space="preserve"> recommends during the evaluation process</w:t>
      </w:r>
      <w:r w:rsidR="00A51A4B">
        <w:rPr>
          <w:rFonts w:ascii="Times New Roman" w:eastAsia="Times New Roman" w:hAnsi="Times New Roman" w:cs="Times New Roman"/>
          <w:sz w:val="24"/>
          <w:szCs w:val="24"/>
          <w:highlight w:val="white"/>
        </w:rPr>
        <w:t>. A</w:t>
      </w:r>
      <w:r w:rsidRPr="00D626B8">
        <w:rPr>
          <w:rFonts w:ascii="Times New Roman" w:eastAsia="Times New Roman" w:hAnsi="Times New Roman" w:cs="Times New Roman"/>
          <w:sz w:val="24"/>
          <w:szCs w:val="24"/>
          <w:highlight w:val="white"/>
        </w:rPr>
        <w:t xml:space="preserve">ll contact with potential reviewers </w:t>
      </w:r>
      <w:r w:rsidR="00C61003" w:rsidRPr="00D626B8">
        <w:rPr>
          <w:rFonts w:ascii="Times New Roman" w:eastAsia="Times New Roman" w:hAnsi="Times New Roman" w:cs="Times New Roman"/>
          <w:sz w:val="24"/>
          <w:szCs w:val="24"/>
          <w:highlight w:val="white"/>
        </w:rPr>
        <w:t xml:space="preserve">is </w:t>
      </w:r>
      <w:r w:rsidR="00C61003" w:rsidRPr="00D626B8">
        <w:rPr>
          <w:rFonts w:ascii="Times New Roman" w:eastAsia="Times New Roman" w:hAnsi="Times New Roman" w:cs="Times New Roman"/>
          <w:sz w:val="24"/>
          <w:szCs w:val="24"/>
        </w:rPr>
        <w:t>to</w:t>
      </w:r>
      <w:r w:rsidRPr="00D626B8">
        <w:rPr>
          <w:rFonts w:ascii="Times New Roman" w:eastAsia="Times New Roman" w:hAnsi="Times New Roman" w:cs="Times New Roman"/>
          <w:sz w:val="24"/>
          <w:szCs w:val="24"/>
          <w:highlight w:val="white"/>
        </w:rPr>
        <w:t xml:space="preserve"> occur only by the dean, in consultation with the vice dean.</w:t>
      </w:r>
      <w:r w:rsidRPr="00D626B8">
        <w:rPr>
          <w:rFonts w:ascii="Times New Roman" w:eastAsia="Times New Roman" w:hAnsi="Times New Roman" w:cs="Times New Roman"/>
          <w:sz w:val="24"/>
          <w:szCs w:val="24"/>
        </w:rPr>
        <w:t xml:space="preserve"> </w:t>
      </w:r>
    </w:p>
    <w:p w14:paraId="103BB081" w14:textId="77777777" w:rsidR="00A51A4B" w:rsidRPr="00D626B8"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680016F1" w14:textId="3CC98206"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The vice</w:t>
      </w:r>
      <w:r w:rsidR="00C61003">
        <w:rPr>
          <w:rFonts w:ascii="Times New Roman" w:eastAsia="Times New Roman" w:hAnsi="Times New Roman" w:cs="Times New Roman"/>
          <w:sz w:val="24"/>
          <w:szCs w:val="24"/>
        </w:rPr>
        <w:t xml:space="preserve"> </w:t>
      </w:r>
      <w:r w:rsidRPr="00D626B8">
        <w:rPr>
          <w:rFonts w:ascii="Times New Roman" w:eastAsia="Times New Roman" w:hAnsi="Times New Roman" w:cs="Times New Roman"/>
          <w:sz w:val="24"/>
          <w:szCs w:val="24"/>
        </w:rPr>
        <w:t xml:space="preserve">dean evaluates each </w:t>
      </w:r>
      <w:r w:rsidR="00A51A4B">
        <w:rPr>
          <w:rFonts w:ascii="Times New Roman" w:eastAsia="Times New Roman" w:hAnsi="Times New Roman" w:cs="Times New Roman"/>
          <w:sz w:val="24"/>
          <w:szCs w:val="24"/>
        </w:rPr>
        <w:t xml:space="preserve">tenure-eligible </w:t>
      </w:r>
      <w:r w:rsidRPr="00D626B8">
        <w:rPr>
          <w:rFonts w:ascii="Times New Roman" w:eastAsia="Times New Roman" w:hAnsi="Times New Roman" w:cs="Times New Roman"/>
          <w:sz w:val="24"/>
          <w:szCs w:val="24"/>
        </w:rPr>
        <w:t>faculty member's portfolio and prepares a report that outlines the candidate’s strengths and weaknesses in relation to the SoA</w:t>
      </w:r>
      <w:r w:rsidR="00A51A4B">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 </w:t>
      </w:r>
      <w:proofErr w:type="gramStart"/>
      <w:r w:rsidRPr="00D626B8">
        <w:rPr>
          <w:rFonts w:ascii="Times New Roman" w:eastAsia="Times New Roman" w:hAnsi="Times New Roman" w:cs="Times New Roman"/>
          <w:sz w:val="24"/>
          <w:szCs w:val="24"/>
        </w:rPr>
        <w:t>and also</w:t>
      </w:r>
      <w:proofErr w:type="gramEnd"/>
      <w:r w:rsidRPr="00D626B8">
        <w:rPr>
          <w:rFonts w:ascii="Times New Roman" w:eastAsia="Times New Roman" w:hAnsi="Times New Roman" w:cs="Times New Roman"/>
          <w:sz w:val="24"/>
          <w:szCs w:val="24"/>
        </w:rPr>
        <w:t xml:space="preserve"> provides a recommendation for or against promotion with tenure along with the reasons for this recommendation</w:t>
      </w:r>
      <w:r w:rsidR="00A51A4B">
        <w:rPr>
          <w:rFonts w:ascii="Times New Roman" w:eastAsia="Times New Roman" w:hAnsi="Times New Roman" w:cs="Times New Roman"/>
          <w:sz w:val="24"/>
          <w:szCs w:val="24"/>
        </w:rPr>
        <w:t>. The vice dean then</w:t>
      </w:r>
      <w:r w:rsidRPr="00D626B8">
        <w:rPr>
          <w:rFonts w:ascii="Times New Roman" w:eastAsia="Times New Roman" w:hAnsi="Times New Roman" w:cs="Times New Roman"/>
          <w:sz w:val="24"/>
          <w:szCs w:val="24"/>
        </w:rPr>
        <w:t xml:space="preserve"> forward</w:t>
      </w:r>
      <w:r w:rsidR="00A51A4B">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 their evaluation to the</w:t>
      </w:r>
      <w:r w:rsidR="00A51A4B">
        <w:rPr>
          <w:rFonts w:ascii="Times New Roman" w:eastAsia="Times New Roman" w:hAnsi="Times New Roman" w:cs="Times New Roman"/>
          <w:sz w:val="24"/>
          <w:szCs w:val="24"/>
        </w:rPr>
        <w:t xml:space="preserve"> TTE</w:t>
      </w:r>
      <w:r w:rsidRPr="00D626B8">
        <w:rPr>
          <w:rFonts w:ascii="Times New Roman" w:eastAsia="Times New Roman" w:hAnsi="Times New Roman" w:cs="Times New Roman"/>
          <w:sz w:val="24"/>
          <w:szCs w:val="24"/>
        </w:rPr>
        <w:t xml:space="preserve"> PEC. The </w:t>
      </w:r>
      <w:r w:rsidR="00A51A4B">
        <w:rPr>
          <w:rFonts w:ascii="Times New Roman" w:eastAsia="Times New Roman" w:hAnsi="Times New Roman" w:cs="Times New Roman"/>
          <w:sz w:val="24"/>
          <w:szCs w:val="24"/>
        </w:rPr>
        <w:t xml:space="preserve">TTE </w:t>
      </w:r>
      <w:r w:rsidRPr="00D626B8">
        <w:rPr>
          <w:rFonts w:ascii="Times New Roman" w:eastAsia="Times New Roman" w:hAnsi="Times New Roman" w:cs="Times New Roman"/>
          <w:sz w:val="24"/>
          <w:szCs w:val="24"/>
        </w:rPr>
        <w:t>PEC prepares a written report that outlines the candidate's strengths and weaknesses in relation to the SoA</w:t>
      </w:r>
      <w:r w:rsidR="00A51A4B">
        <w:rPr>
          <w:rFonts w:ascii="Times New Roman" w:eastAsia="Times New Roman" w:hAnsi="Times New Roman" w:cs="Times New Roman"/>
          <w:sz w:val="24"/>
          <w:szCs w:val="24"/>
        </w:rPr>
        <w:t>s</w:t>
      </w:r>
      <w:r w:rsidRPr="00D626B8">
        <w:rPr>
          <w:rFonts w:ascii="Times New Roman" w:eastAsia="Times New Roman" w:hAnsi="Times New Roman" w:cs="Times New Roman"/>
          <w:sz w:val="24"/>
          <w:szCs w:val="24"/>
        </w:rPr>
        <w:t xml:space="preserve"> </w:t>
      </w:r>
      <w:proofErr w:type="gramStart"/>
      <w:r w:rsidRPr="00D626B8">
        <w:rPr>
          <w:rFonts w:ascii="Times New Roman" w:eastAsia="Times New Roman" w:hAnsi="Times New Roman" w:cs="Times New Roman"/>
          <w:sz w:val="24"/>
          <w:szCs w:val="24"/>
        </w:rPr>
        <w:t>and also</w:t>
      </w:r>
      <w:proofErr w:type="gramEnd"/>
      <w:r w:rsidRPr="00D626B8">
        <w:rPr>
          <w:rFonts w:ascii="Times New Roman" w:eastAsia="Times New Roman" w:hAnsi="Times New Roman" w:cs="Times New Roman"/>
          <w:sz w:val="24"/>
          <w:szCs w:val="24"/>
        </w:rPr>
        <w:t xml:space="preserve"> provides a recommendation for or against continued promotion along with reasons for this recommendation. The vote of the </w:t>
      </w:r>
      <w:r w:rsidR="00A51A4B">
        <w:rPr>
          <w:rFonts w:ascii="Times New Roman" w:eastAsia="Times New Roman" w:hAnsi="Times New Roman" w:cs="Times New Roman"/>
          <w:sz w:val="24"/>
          <w:szCs w:val="24"/>
        </w:rPr>
        <w:t>TTE PEC</w:t>
      </w:r>
      <w:r w:rsidRPr="00D626B8">
        <w:rPr>
          <w:rFonts w:ascii="Times New Roman" w:eastAsia="Times New Roman" w:hAnsi="Times New Roman" w:cs="Times New Roman"/>
          <w:sz w:val="24"/>
          <w:szCs w:val="24"/>
        </w:rPr>
        <w:t xml:space="preserve"> must be indicated in </w:t>
      </w:r>
      <w:r w:rsidR="00A51A4B">
        <w:rPr>
          <w:rFonts w:ascii="Times New Roman" w:eastAsia="Times New Roman" w:hAnsi="Times New Roman" w:cs="Times New Roman"/>
          <w:sz w:val="24"/>
          <w:szCs w:val="24"/>
        </w:rPr>
        <w:t>a</w:t>
      </w:r>
      <w:r w:rsidRPr="00D626B8">
        <w:rPr>
          <w:rFonts w:ascii="Times New Roman" w:eastAsia="Times New Roman" w:hAnsi="Times New Roman" w:cs="Times New Roman"/>
          <w:sz w:val="24"/>
          <w:szCs w:val="24"/>
        </w:rPr>
        <w:t xml:space="preserve"> written report. If the </w:t>
      </w:r>
      <w:r w:rsidR="009719F8">
        <w:rPr>
          <w:rFonts w:ascii="Times New Roman" w:eastAsia="Times New Roman" w:hAnsi="Times New Roman" w:cs="Times New Roman"/>
          <w:sz w:val="24"/>
          <w:szCs w:val="24"/>
        </w:rPr>
        <w:t xml:space="preserve">TTE </w:t>
      </w:r>
      <w:r w:rsidRPr="00D626B8">
        <w:rPr>
          <w:rFonts w:ascii="Times New Roman" w:eastAsia="Times New Roman" w:hAnsi="Times New Roman" w:cs="Times New Roman"/>
          <w:sz w:val="24"/>
          <w:szCs w:val="24"/>
        </w:rPr>
        <w:t xml:space="preserve">PEC’s vote for promotion with tenure is not unanimous, the report should reflect these judgments and provide both majority and minority opinions. This written report should be reviewed and discussed by the entire committee prior to being signed by </w:t>
      </w:r>
      <w:r w:rsidR="00A51A4B">
        <w:rPr>
          <w:rFonts w:ascii="Times New Roman" w:eastAsia="Times New Roman" w:hAnsi="Times New Roman" w:cs="Times New Roman"/>
          <w:sz w:val="24"/>
          <w:szCs w:val="24"/>
        </w:rPr>
        <w:t xml:space="preserve">members of </w:t>
      </w:r>
      <w:r w:rsidRPr="00D626B8">
        <w:rPr>
          <w:rFonts w:ascii="Times New Roman" w:eastAsia="Times New Roman" w:hAnsi="Times New Roman" w:cs="Times New Roman"/>
          <w:sz w:val="24"/>
          <w:szCs w:val="24"/>
        </w:rPr>
        <w:t xml:space="preserve">the </w:t>
      </w:r>
      <w:r w:rsidR="00A51A4B">
        <w:rPr>
          <w:rFonts w:ascii="Times New Roman" w:eastAsia="Times New Roman" w:hAnsi="Times New Roman" w:cs="Times New Roman"/>
          <w:sz w:val="24"/>
          <w:szCs w:val="24"/>
        </w:rPr>
        <w:t xml:space="preserve">TTE </w:t>
      </w:r>
      <w:r w:rsidRPr="00D626B8">
        <w:rPr>
          <w:rFonts w:ascii="Times New Roman" w:eastAsia="Times New Roman" w:hAnsi="Times New Roman" w:cs="Times New Roman"/>
          <w:sz w:val="24"/>
          <w:szCs w:val="24"/>
        </w:rPr>
        <w:t xml:space="preserve">PEC and sent to the appropriate vice dean. The vice dean then forwards to the dean their report along with that of the </w:t>
      </w:r>
      <w:r w:rsidR="00A51A4B">
        <w:rPr>
          <w:rFonts w:ascii="Times New Roman" w:eastAsia="Times New Roman" w:hAnsi="Times New Roman" w:cs="Times New Roman"/>
          <w:sz w:val="24"/>
          <w:szCs w:val="24"/>
        </w:rPr>
        <w:t xml:space="preserve">TTE </w:t>
      </w:r>
      <w:r w:rsidRPr="00D626B8">
        <w:rPr>
          <w:rFonts w:ascii="Times New Roman" w:eastAsia="Times New Roman" w:hAnsi="Times New Roman" w:cs="Times New Roman"/>
          <w:sz w:val="24"/>
          <w:szCs w:val="24"/>
        </w:rPr>
        <w:t xml:space="preserve">PEC for the </w:t>
      </w:r>
      <w:r w:rsidR="00A51A4B">
        <w:rPr>
          <w:rFonts w:ascii="Times New Roman" w:eastAsia="Times New Roman" w:hAnsi="Times New Roman" w:cs="Times New Roman"/>
          <w:sz w:val="24"/>
          <w:szCs w:val="24"/>
        </w:rPr>
        <w:t>tenure-eligible</w:t>
      </w:r>
      <w:r w:rsidRPr="00D626B8">
        <w:rPr>
          <w:rFonts w:ascii="Times New Roman" w:eastAsia="Times New Roman" w:hAnsi="Times New Roman" w:cs="Times New Roman"/>
          <w:sz w:val="24"/>
          <w:szCs w:val="24"/>
        </w:rPr>
        <w:t xml:space="preserve"> member undergoing the promotion with tenure review. The dean provides an evaluation and forwards the promotion and tenure portfolio, which includes these recommendations, to </w:t>
      </w:r>
      <w:r w:rsidR="00A51A4B">
        <w:rPr>
          <w:rFonts w:ascii="Times New Roman" w:eastAsia="Times New Roman" w:hAnsi="Times New Roman" w:cs="Times New Roman"/>
          <w:sz w:val="24"/>
          <w:szCs w:val="24"/>
        </w:rPr>
        <w:t>ASU’s</w:t>
      </w:r>
      <w:r w:rsidRPr="00D626B8">
        <w:rPr>
          <w:rFonts w:ascii="Times New Roman" w:eastAsia="Times New Roman" w:hAnsi="Times New Roman" w:cs="Times New Roman"/>
          <w:sz w:val="24"/>
          <w:szCs w:val="24"/>
        </w:rPr>
        <w:t xml:space="preserve"> Office of the Executive Vice President and Provost of the University and, ultimately, to the </w:t>
      </w:r>
      <w:r w:rsidR="0098279E">
        <w:rPr>
          <w:rFonts w:ascii="Times New Roman" w:eastAsia="Times New Roman" w:hAnsi="Times New Roman" w:cs="Times New Roman"/>
          <w:sz w:val="24"/>
          <w:szCs w:val="24"/>
        </w:rPr>
        <w:t>ASU p</w:t>
      </w:r>
      <w:r w:rsidRPr="00D626B8">
        <w:rPr>
          <w:rFonts w:ascii="Times New Roman" w:eastAsia="Times New Roman" w:hAnsi="Times New Roman" w:cs="Times New Roman"/>
          <w:sz w:val="24"/>
          <w:szCs w:val="24"/>
        </w:rPr>
        <w:t xml:space="preserve">resident. </w:t>
      </w:r>
    </w:p>
    <w:p w14:paraId="1BDC68F1" w14:textId="77777777" w:rsidR="00A51A4B" w:rsidRPr="00D626B8"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667D01FA" w14:textId="5C93434C"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000000"/>
          <w:sz w:val="24"/>
          <w:szCs w:val="24"/>
        </w:rPr>
        <w:t xml:space="preserve">See also </w:t>
      </w:r>
      <w:hyperlink r:id="rId53">
        <w:r w:rsidRPr="00EE3450">
          <w:rPr>
            <w:rFonts w:ascii="Times New Roman" w:eastAsia="Times New Roman" w:hAnsi="Times New Roman" w:cs="Times New Roman"/>
            <w:color w:val="0000FF"/>
            <w:sz w:val="24"/>
            <w:szCs w:val="24"/>
            <w:u w:val="single"/>
          </w:rPr>
          <w:t>ACD 506–01: Faculty Status</w:t>
        </w:r>
      </w:hyperlink>
      <w:r w:rsidRPr="00EE3450">
        <w:rPr>
          <w:rFonts w:ascii="Times New Roman" w:eastAsia="Times New Roman" w:hAnsi="Times New Roman" w:cs="Times New Roman"/>
          <w:color w:val="0000FF"/>
          <w:sz w:val="24"/>
          <w:szCs w:val="24"/>
        </w:rPr>
        <w:t xml:space="preserve">; </w:t>
      </w:r>
      <w:hyperlink r:id="rId54">
        <w:r w:rsidRPr="00EE3450">
          <w:rPr>
            <w:rFonts w:ascii="Times New Roman" w:eastAsia="Times New Roman" w:hAnsi="Times New Roman" w:cs="Times New Roman"/>
            <w:color w:val="0000FF"/>
            <w:sz w:val="24"/>
            <w:szCs w:val="24"/>
            <w:u w:val="single"/>
          </w:rPr>
          <w:t>ACD 506–04: Tenure</w:t>
        </w:r>
      </w:hyperlink>
      <w:r w:rsidRPr="00EE3450">
        <w:rPr>
          <w:rFonts w:ascii="Times New Roman" w:eastAsia="Times New Roman" w:hAnsi="Times New Roman" w:cs="Times New Roman"/>
          <w:color w:val="0000FF"/>
          <w:sz w:val="24"/>
          <w:szCs w:val="24"/>
        </w:rPr>
        <w:t xml:space="preserve">; </w:t>
      </w:r>
      <w:hyperlink r:id="rId55" w:history="1">
        <w:r w:rsidR="000D7D8D" w:rsidRPr="00EE3450">
          <w:rPr>
            <w:rStyle w:val="Hyperlink"/>
            <w:rFonts w:ascii="Times New Roman" w:eastAsia="Times New Roman" w:hAnsi="Times New Roman" w:cs="Times New Roman"/>
            <w:color w:val="0000FF"/>
            <w:sz w:val="24"/>
            <w:szCs w:val="24"/>
          </w:rPr>
          <w:t>https://public.powerdms.com/ASU/documents/1542060</w:t>
        </w:r>
      </w:hyperlink>
      <w:r w:rsidRPr="00EE3450">
        <w:rPr>
          <w:rFonts w:ascii="Times New Roman" w:eastAsia="Times New Roman" w:hAnsi="Times New Roman" w:cs="Times New Roman"/>
          <w:color w:val="0000FF"/>
          <w:sz w:val="24"/>
          <w:szCs w:val="24"/>
        </w:rPr>
        <w:t xml:space="preserve">; </w:t>
      </w:r>
      <w:hyperlink r:id="rId56" w:history="1">
        <w:r w:rsidR="001B2A87" w:rsidRPr="00EE3450">
          <w:rPr>
            <w:rStyle w:val="Hyperlink"/>
            <w:rFonts w:ascii="Times New Roman" w:eastAsia="Times New Roman" w:hAnsi="Times New Roman" w:cs="Times New Roman"/>
            <w:color w:val="0000FF"/>
            <w:sz w:val="24"/>
            <w:szCs w:val="24"/>
          </w:rPr>
          <w:t>https://provost.asu.edu/policies/procedures/p3</w:t>
        </w:r>
      </w:hyperlink>
    </w:p>
    <w:p w14:paraId="6DD5F9FE"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p>
    <w:p w14:paraId="64C1B945" w14:textId="517A6E88"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28" w:name="_147n2zr" w:colFirst="0" w:colLast="0"/>
      <w:bookmarkEnd w:id="28"/>
      <w:r>
        <w:rPr>
          <w:rFonts w:ascii="Times New Roman" w:eastAsia="Times New Roman" w:hAnsi="Times New Roman" w:cs="Times New Roman"/>
        </w:rPr>
        <w:t>4.3 Sabbatical Leave for TTE Faculty</w:t>
      </w:r>
    </w:p>
    <w:p w14:paraId="5C3B796B"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76ED8A05" w14:textId="2ABD3CFC"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compliance with the ABOR and ACD procedures</w:t>
      </w:r>
      <w:r w:rsidRPr="00D626B8">
        <w:rPr>
          <w:rFonts w:ascii="Times New Roman" w:eastAsia="Times New Roman" w:hAnsi="Times New Roman" w:cs="Times New Roman"/>
          <w:sz w:val="24"/>
          <w:szCs w:val="24"/>
        </w:rPr>
        <w:t xml:space="preserve">, TTE </w:t>
      </w:r>
      <w:r>
        <w:rPr>
          <w:rFonts w:ascii="Times New Roman" w:eastAsia="Times New Roman" w:hAnsi="Times New Roman" w:cs="Times New Roman"/>
          <w:color w:val="000000"/>
          <w:sz w:val="24"/>
          <w:szCs w:val="24"/>
        </w:rPr>
        <w:t xml:space="preserve">faculty members who wish to petition for sabbatical leave should consult with the dean about their eligibility. The awarding of sabbatical leave depends on the </w:t>
      </w:r>
      <w:r w:rsidR="00A51A4B">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 xml:space="preserve">faculty member's </w:t>
      </w:r>
      <w:proofErr w:type="gramStart"/>
      <w:r>
        <w:rPr>
          <w:rFonts w:ascii="Times New Roman" w:eastAsia="Times New Roman" w:hAnsi="Times New Roman" w:cs="Times New Roman"/>
          <w:color w:val="000000"/>
          <w:sz w:val="24"/>
          <w:szCs w:val="24"/>
        </w:rPr>
        <w:t>current status</w:t>
      </w:r>
      <w:proofErr w:type="gramEnd"/>
      <w:r>
        <w:rPr>
          <w:rFonts w:ascii="Times New Roman" w:eastAsia="Times New Roman" w:hAnsi="Times New Roman" w:cs="Times New Roman"/>
          <w:color w:val="000000"/>
          <w:sz w:val="24"/>
          <w:szCs w:val="24"/>
        </w:rPr>
        <w:t xml:space="preserve"> and quality of the sabbatical proposal; the availability of division, college, and university resources; and the teaching, scholarship, and service needs of the division, college, and university. Eligibility is not a guarantee that a sabbatical leave will be awarded. But if it is determined that the </w:t>
      </w:r>
      <w:r w:rsidR="00A51A4B">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 xml:space="preserve">faculty member is eligible, then the </w:t>
      </w:r>
      <w:r w:rsidR="00A51A4B">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 xml:space="preserve">faculty member must prepare and submit a sabbatical application and request per university guidelines. This application is to be submitted to the dean. </w:t>
      </w:r>
    </w:p>
    <w:p w14:paraId="5B240537"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11D4C89F" w14:textId="0E9302D5" w:rsidR="00752D14" w:rsidRPr="000D7D8D" w:rsidRDefault="0035498F" w:rsidP="0017430C">
      <w:pPr>
        <w:widowControl w:val="0"/>
        <w:pBdr>
          <w:top w:val="nil"/>
          <w:left w:val="nil"/>
          <w:bottom w:val="nil"/>
          <w:right w:val="nil"/>
          <w:between w:val="nil"/>
        </w:pBdr>
        <w:spacing w:line="240" w:lineRule="auto"/>
        <w:ind w:left="1440" w:right="1440"/>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Please see the </w:t>
      </w:r>
      <w:r w:rsidR="00102DC9">
        <w:rPr>
          <w:rFonts w:ascii="Times New Roman" w:eastAsia="Times New Roman" w:hAnsi="Times New Roman" w:cs="Times New Roman"/>
          <w:color w:val="000000"/>
          <w:sz w:val="24"/>
          <w:szCs w:val="24"/>
        </w:rPr>
        <w:t>ASU</w:t>
      </w:r>
      <w:r>
        <w:rPr>
          <w:rFonts w:ascii="Times New Roman" w:eastAsia="Times New Roman" w:hAnsi="Times New Roman" w:cs="Times New Roman"/>
          <w:color w:val="000000"/>
          <w:sz w:val="24"/>
          <w:szCs w:val="24"/>
        </w:rPr>
        <w:t xml:space="preserve"> </w:t>
      </w:r>
      <w:r w:rsidR="00102DC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rovost's </w:t>
      </w:r>
      <w:r w:rsidRPr="00EE3450">
        <w:rPr>
          <w:rFonts w:ascii="Times New Roman" w:eastAsia="Times New Roman" w:hAnsi="Times New Roman" w:cs="Times New Roman"/>
          <w:color w:val="0000FF"/>
          <w:sz w:val="24"/>
          <w:szCs w:val="24"/>
        </w:rPr>
        <w:t>"</w:t>
      </w:r>
      <w:hyperlink r:id="rId57" w:anchor="webspark-anchor-link--280">
        <w:r w:rsidRPr="00EE3450">
          <w:rPr>
            <w:rFonts w:ascii="Times New Roman" w:eastAsia="Times New Roman" w:hAnsi="Times New Roman" w:cs="Times New Roman"/>
            <w:color w:val="0000FF"/>
            <w:sz w:val="24"/>
            <w:szCs w:val="24"/>
            <w:u w:val="single"/>
          </w:rPr>
          <w:t>Personnel Processes"</w:t>
        </w:r>
      </w:hyperlink>
      <w:r>
        <w:rPr>
          <w:rFonts w:ascii="Times New Roman" w:eastAsia="Times New Roman" w:hAnsi="Times New Roman" w:cs="Times New Roman"/>
          <w:color w:val="000000"/>
          <w:sz w:val="24"/>
          <w:szCs w:val="24"/>
        </w:rPr>
        <w:t xml:space="preserve"> site and look under Faculty Process Guides for more information. See also </w:t>
      </w:r>
      <w:r w:rsidR="000D7D8D">
        <w:rPr>
          <w:rFonts w:ascii="Times New Roman" w:eastAsia="Times New Roman" w:hAnsi="Times New Roman" w:cs="Times New Roman"/>
          <w:color w:val="1155CC"/>
          <w:sz w:val="24"/>
          <w:szCs w:val="24"/>
          <w:u w:val="single"/>
        </w:rPr>
        <w:fldChar w:fldCharType="begin"/>
      </w:r>
      <w:r w:rsidR="000D7D8D">
        <w:rPr>
          <w:rFonts w:ascii="Times New Roman" w:eastAsia="Times New Roman" w:hAnsi="Times New Roman" w:cs="Times New Roman"/>
          <w:color w:val="1155CC"/>
          <w:sz w:val="24"/>
          <w:szCs w:val="24"/>
          <w:u w:val="single"/>
        </w:rPr>
        <w:instrText xml:space="preserve"> HYPERLINK "https://public.powerdms.com/ASU/documents/1547128" </w:instrText>
      </w:r>
      <w:r w:rsidR="000D7D8D">
        <w:rPr>
          <w:rFonts w:ascii="Times New Roman" w:eastAsia="Times New Roman" w:hAnsi="Times New Roman" w:cs="Times New Roman"/>
          <w:color w:val="1155CC"/>
          <w:sz w:val="24"/>
          <w:szCs w:val="24"/>
          <w:u w:val="single"/>
        </w:rPr>
      </w:r>
      <w:r w:rsidR="000D7D8D">
        <w:rPr>
          <w:rFonts w:ascii="Times New Roman" w:eastAsia="Times New Roman" w:hAnsi="Times New Roman" w:cs="Times New Roman"/>
          <w:color w:val="1155CC"/>
          <w:sz w:val="24"/>
          <w:szCs w:val="24"/>
          <w:u w:val="single"/>
        </w:rPr>
        <w:fldChar w:fldCharType="separate"/>
      </w:r>
      <w:r w:rsidRPr="000D7D8D">
        <w:rPr>
          <w:rStyle w:val="Hyperlink"/>
          <w:rFonts w:ascii="Times New Roman" w:eastAsia="Times New Roman" w:hAnsi="Times New Roman" w:cs="Times New Roman"/>
          <w:sz w:val="24"/>
          <w:szCs w:val="24"/>
        </w:rPr>
        <w:t xml:space="preserve">ACD 705: Sabbatical Leave </w:t>
      </w:r>
    </w:p>
    <w:p w14:paraId="5B91CC40" w14:textId="66DC3B28" w:rsidR="00A51A4B" w:rsidRDefault="000D7D8D"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r>
        <w:rPr>
          <w:rFonts w:ascii="Times New Roman" w:eastAsia="Times New Roman" w:hAnsi="Times New Roman" w:cs="Times New Roman"/>
          <w:color w:val="1155CC"/>
          <w:sz w:val="24"/>
          <w:szCs w:val="24"/>
          <w:u w:val="single"/>
        </w:rPr>
        <w:fldChar w:fldCharType="end"/>
      </w:r>
    </w:p>
    <w:p w14:paraId="2B213755" w14:textId="60EF2A5A"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29" w:name="_3o7alnk" w:colFirst="0" w:colLast="0"/>
      <w:bookmarkEnd w:id="29"/>
      <w:r>
        <w:rPr>
          <w:rFonts w:ascii="Times New Roman" w:eastAsia="Times New Roman" w:hAnsi="Times New Roman" w:cs="Times New Roman"/>
        </w:rPr>
        <w:t>4.4 Post-Tenure Review of T</w:t>
      </w:r>
      <w:r w:rsidR="00A51A4B">
        <w:rPr>
          <w:rFonts w:ascii="Times New Roman" w:eastAsia="Times New Roman" w:hAnsi="Times New Roman" w:cs="Times New Roman"/>
        </w:rPr>
        <w:t>enured</w:t>
      </w:r>
      <w:r>
        <w:rPr>
          <w:rFonts w:ascii="Times New Roman" w:eastAsia="Times New Roman" w:hAnsi="Times New Roman" w:cs="Times New Roman"/>
        </w:rPr>
        <w:t xml:space="preserve"> Faculty</w:t>
      </w:r>
    </w:p>
    <w:p w14:paraId="3D188F12"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4547ADE" w14:textId="33232987"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awarding of tenure comes with the privilege to extend and expand one's work in new directions and the responsibility for continued excellence in scholarship, teaching, and service.  The central purpose of the post-tenure process is to monitor and recognize this continued excellence. The annual performance evaluation constitutes the post-tenure review for tenured </w:t>
      </w:r>
      <w:r w:rsidRPr="00D626B8">
        <w:rPr>
          <w:rFonts w:ascii="Times New Roman" w:eastAsia="Times New Roman" w:hAnsi="Times New Roman" w:cs="Times New Roman"/>
          <w:sz w:val="24"/>
          <w:szCs w:val="24"/>
        </w:rPr>
        <w:t xml:space="preserve">faculty. The vice dean’s </w:t>
      </w:r>
      <w:r>
        <w:rPr>
          <w:rFonts w:ascii="Times New Roman" w:eastAsia="Times New Roman" w:hAnsi="Times New Roman" w:cs="Times New Roman"/>
          <w:color w:val="000000"/>
          <w:sz w:val="24"/>
          <w:szCs w:val="24"/>
        </w:rPr>
        <w:t>final report on each tenured faculty member shall consider the vice dean’s prior two (or only one, if that is all that is available) annual reviews of th</w:t>
      </w:r>
      <w:r w:rsidR="00A51A4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A51A4B">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 xml:space="preserve">faculty member. </w:t>
      </w:r>
    </w:p>
    <w:p w14:paraId="05EF25BF"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27FA58F6" w14:textId="71FCBC9E"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Please see the </w:t>
      </w:r>
      <w:r w:rsidR="00102DC9">
        <w:rPr>
          <w:rFonts w:ascii="Times New Roman" w:eastAsia="Times New Roman" w:hAnsi="Times New Roman" w:cs="Times New Roman"/>
          <w:color w:val="000000"/>
          <w:sz w:val="24"/>
          <w:szCs w:val="24"/>
        </w:rPr>
        <w:t>ASU</w:t>
      </w:r>
      <w:r>
        <w:rPr>
          <w:rFonts w:ascii="Times New Roman" w:eastAsia="Times New Roman" w:hAnsi="Times New Roman" w:cs="Times New Roman"/>
          <w:color w:val="000000"/>
          <w:sz w:val="24"/>
          <w:szCs w:val="24"/>
        </w:rPr>
        <w:t xml:space="preserve"> Provost's "</w:t>
      </w:r>
      <w:r>
        <w:rPr>
          <w:rFonts w:ascii="Times New Roman" w:eastAsia="Times New Roman" w:hAnsi="Times New Roman" w:cs="Times New Roman"/>
          <w:color w:val="0000FF"/>
          <w:sz w:val="24"/>
          <w:szCs w:val="24"/>
          <w:u w:val="single"/>
        </w:rPr>
        <w:t>Post-Tenure Review Process</w:t>
      </w:r>
      <w:r>
        <w:rPr>
          <w:rFonts w:ascii="Times New Roman" w:eastAsia="Times New Roman" w:hAnsi="Times New Roman" w:cs="Times New Roman"/>
          <w:color w:val="000000"/>
          <w:sz w:val="24"/>
          <w:szCs w:val="24"/>
        </w:rPr>
        <w:t xml:space="preserve">" site for more information.  See also </w:t>
      </w:r>
      <w:hyperlink r:id="rId58" w:history="1">
        <w:r w:rsidRPr="000D7D8D">
          <w:rPr>
            <w:rStyle w:val="Hyperlink"/>
            <w:rFonts w:ascii="Times New Roman" w:eastAsia="Times New Roman" w:hAnsi="Times New Roman" w:cs="Times New Roman"/>
            <w:sz w:val="24"/>
            <w:szCs w:val="24"/>
          </w:rPr>
          <w:t>ACD 506–11: Post-Tenure Review</w:t>
        </w:r>
      </w:hyperlink>
    </w:p>
    <w:p w14:paraId="4A33A5B1" w14:textId="77777777" w:rsidR="00752D14" w:rsidRDefault="00752D14"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b/>
          <w:color w:val="000000"/>
          <w:sz w:val="24"/>
          <w:szCs w:val="24"/>
        </w:rPr>
      </w:pPr>
    </w:p>
    <w:p w14:paraId="3A68465A" w14:textId="52389B75" w:rsidR="00752D14" w:rsidRDefault="0035498F" w:rsidP="0017430C">
      <w:pPr>
        <w:pStyle w:val="Heading2"/>
        <w:spacing w:before="0" w:after="0" w:line="240" w:lineRule="auto"/>
        <w:ind w:left="1440" w:right="1440"/>
        <w:rPr>
          <w:rFonts w:ascii="Times New Roman" w:eastAsia="Times New Roman" w:hAnsi="Times New Roman" w:cs="Times New Roman"/>
        </w:rPr>
      </w:pPr>
      <w:bookmarkStart w:id="30" w:name="_23ckvvd" w:colFirst="0" w:colLast="0"/>
      <w:bookmarkEnd w:id="30"/>
      <w:r>
        <w:rPr>
          <w:rFonts w:ascii="Times New Roman" w:eastAsia="Times New Roman" w:hAnsi="Times New Roman" w:cs="Times New Roman"/>
        </w:rPr>
        <w:t xml:space="preserve">4.5 Promotion to Full Professor of Tenured Faculty </w:t>
      </w:r>
    </w:p>
    <w:p w14:paraId="1084365D" w14:textId="77777777" w:rsidR="00A51A4B" w:rsidRDefault="00A51A4B"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4D5FB65F" w14:textId="3471D444"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102DC9">
        <w:rPr>
          <w:rFonts w:ascii="Times New Roman" w:eastAsia="Times New Roman" w:hAnsi="Times New Roman" w:cs="Times New Roman"/>
          <w:color w:val="000000"/>
          <w:sz w:val="24"/>
          <w:szCs w:val="24"/>
        </w:rPr>
        <w:t>ASU p</w:t>
      </w:r>
      <w:r>
        <w:rPr>
          <w:rFonts w:ascii="Times New Roman" w:eastAsia="Times New Roman" w:hAnsi="Times New Roman" w:cs="Times New Roman"/>
          <w:color w:val="000000"/>
          <w:sz w:val="24"/>
          <w:szCs w:val="24"/>
        </w:rPr>
        <w:t xml:space="preserve">rovost’s office is responsible for promulgating the overall institutional processes for review of requests by </w:t>
      </w:r>
      <w:r w:rsidR="00A51A4B">
        <w:rPr>
          <w:rFonts w:ascii="Times New Roman" w:eastAsia="Times New Roman" w:hAnsi="Times New Roman" w:cs="Times New Roman"/>
          <w:color w:val="000000"/>
          <w:sz w:val="24"/>
          <w:szCs w:val="24"/>
        </w:rPr>
        <w:t xml:space="preserve">tenured </w:t>
      </w:r>
      <w:r>
        <w:rPr>
          <w:rFonts w:ascii="Times New Roman" w:eastAsia="Times New Roman" w:hAnsi="Times New Roman" w:cs="Times New Roman"/>
          <w:color w:val="000000"/>
          <w:sz w:val="24"/>
          <w:szCs w:val="24"/>
        </w:rPr>
        <w:t xml:space="preserve">faculty members for promotion to the rank of full professor. In the event of any direct conflict between the processes described herein for promotion to the rank of full professor and those processes promulgated by </w:t>
      </w:r>
      <w:r w:rsidR="002424FA">
        <w:rPr>
          <w:rFonts w:ascii="Times New Roman" w:eastAsia="Times New Roman" w:hAnsi="Times New Roman" w:cs="Times New Roman"/>
          <w:color w:val="000000"/>
          <w:sz w:val="24"/>
          <w:szCs w:val="24"/>
        </w:rPr>
        <w:t>ASU’s</w:t>
      </w:r>
      <w:r>
        <w:rPr>
          <w:rFonts w:ascii="Times New Roman" w:eastAsia="Times New Roman" w:hAnsi="Times New Roman" w:cs="Times New Roman"/>
          <w:color w:val="000000"/>
          <w:sz w:val="24"/>
          <w:szCs w:val="24"/>
        </w:rPr>
        <w:t xml:space="preserve"> </w:t>
      </w:r>
      <w:r w:rsidR="00102DC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rovost’s office, the latter process statements are controlling. </w:t>
      </w:r>
    </w:p>
    <w:p w14:paraId="619D58EE" w14:textId="77777777" w:rsidR="007271FE" w:rsidRDefault="007271FE"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6BE445E2" w14:textId="6E07929F"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tenured associate professor </w:t>
      </w:r>
      <w:r w:rsidR="002424FA">
        <w:rPr>
          <w:rFonts w:ascii="Times New Roman" w:eastAsia="Times New Roman" w:hAnsi="Times New Roman" w:cs="Times New Roman"/>
          <w:color w:val="000000"/>
          <w:sz w:val="24"/>
          <w:szCs w:val="24"/>
        </w:rPr>
        <w:t>can</w:t>
      </w:r>
      <w:r>
        <w:rPr>
          <w:rFonts w:ascii="Times New Roman" w:eastAsia="Times New Roman" w:hAnsi="Times New Roman" w:cs="Times New Roman"/>
          <w:color w:val="000000"/>
          <w:sz w:val="24"/>
          <w:szCs w:val="24"/>
        </w:rPr>
        <w:t xml:space="preserve"> submit a portfolio for promotion to full professor. Promotion to full professor is the highest recognition </w:t>
      </w:r>
      <w:r w:rsidRPr="00D626B8">
        <w:rPr>
          <w:rFonts w:ascii="Times New Roman" w:eastAsia="Times New Roman" w:hAnsi="Times New Roman" w:cs="Times New Roman"/>
          <w:sz w:val="24"/>
          <w:szCs w:val="24"/>
        </w:rPr>
        <w:t xml:space="preserve">that MLFTC may recommend for </w:t>
      </w:r>
      <w:r w:rsidR="002424FA">
        <w:rPr>
          <w:rFonts w:ascii="Times New Roman" w:eastAsia="Times New Roman" w:hAnsi="Times New Roman" w:cs="Times New Roman"/>
          <w:sz w:val="24"/>
          <w:szCs w:val="24"/>
        </w:rPr>
        <w:t xml:space="preserve">tenured </w:t>
      </w:r>
      <w:r w:rsidRPr="00D626B8">
        <w:rPr>
          <w:rFonts w:ascii="Times New Roman" w:eastAsia="Times New Roman" w:hAnsi="Times New Roman" w:cs="Times New Roman"/>
          <w:sz w:val="24"/>
          <w:szCs w:val="24"/>
        </w:rPr>
        <w:t xml:space="preserve">faculty members who have demonstrated excellence and impact </w:t>
      </w:r>
      <w:r>
        <w:rPr>
          <w:rFonts w:ascii="Times New Roman" w:eastAsia="Times New Roman" w:hAnsi="Times New Roman" w:cs="Times New Roman"/>
          <w:color w:val="000000"/>
          <w:sz w:val="24"/>
          <w:szCs w:val="24"/>
        </w:rPr>
        <w:t xml:space="preserve">in the areas of scholarship, teaching, and service. </w:t>
      </w:r>
    </w:p>
    <w:p w14:paraId="55333A69" w14:textId="77777777" w:rsidR="002424FA"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2F59D41B" w14:textId="188992BA"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sidRPr="00D626B8">
        <w:rPr>
          <w:rFonts w:ascii="Times New Roman" w:eastAsia="Times New Roman" w:hAnsi="Times New Roman" w:cs="Times New Roman"/>
          <w:sz w:val="24"/>
          <w:szCs w:val="24"/>
        </w:rPr>
        <w:t>The evidence presented in requesting promotion to full professor should clearly demonstrate continued significant contributions in scholarship, teaching</w:t>
      </w:r>
      <w:r w:rsidR="002424FA">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and service as per the S</w:t>
      </w:r>
      <w:r w:rsidR="002424FA">
        <w:rPr>
          <w:rFonts w:ascii="Times New Roman" w:eastAsia="Times New Roman" w:hAnsi="Times New Roman" w:cs="Times New Roman"/>
          <w:sz w:val="24"/>
          <w:szCs w:val="24"/>
        </w:rPr>
        <w:t>oAs</w:t>
      </w:r>
      <w:r w:rsidRPr="00D626B8">
        <w:rPr>
          <w:rFonts w:ascii="Times New Roman" w:eastAsia="Times New Roman" w:hAnsi="Times New Roman" w:cs="Times New Roman"/>
          <w:sz w:val="24"/>
          <w:szCs w:val="24"/>
        </w:rPr>
        <w:t xml:space="preserve"> </w:t>
      </w:r>
      <w:r w:rsidR="002424FA" w:rsidRPr="00D626B8">
        <w:rPr>
          <w:rFonts w:ascii="Times New Roman" w:eastAsia="Times New Roman" w:hAnsi="Times New Roman" w:cs="Times New Roman"/>
          <w:sz w:val="24"/>
          <w:szCs w:val="24"/>
        </w:rPr>
        <w:t xml:space="preserve">and in </w:t>
      </w:r>
      <w:hyperlink r:id="rId59" w:history="1">
        <w:r w:rsidR="002424FA" w:rsidRPr="00BE624D">
          <w:rPr>
            <w:rStyle w:val="Hyperlink"/>
            <w:rFonts w:ascii="Times New Roman" w:eastAsia="Times New Roman" w:hAnsi="Times New Roman" w:cs="Times New Roman"/>
            <w:sz w:val="24"/>
            <w:szCs w:val="24"/>
          </w:rPr>
          <w:t>ACD 506-05</w:t>
        </w:r>
      </w:hyperlink>
      <w:r w:rsidR="002424FA">
        <w:rPr>
          <w:rFonts w:ascii="Times New Roman" w:eastAsia="Times New Roman" w:hAnsi="Times New Roman" w:cs="Times New Roman"/>
          <w:sz w:val="24"/>
          <w:szCs w:val="24"/>
        </w:rPr>
        <w:t xml:space="preserve">. </w:t>
      </w:r>
      <w:r w:rsidRPr="00D626B8">
        <w:rPr>
          <w:rFonts w:ascii="Times New Roman" w:eastAsia="Times New Roman" w:hAnsi="Times New Roman" w:cs="Times New Roman"/>
          <w:sz w:val="24"/>
          <w:szCs w:val="24"/>
        </w:rPr>
        <w:t xml:space="preserve">In addition, the </w:t>
      </w:r>
      <w:r w:rsidR="002424FA">
        <w:rPr>
          <w:rFonts w:ascii="Times New Roman" w:eastAsia="Times New Roman" w:hAnsi="Times New Roman" w:cs="Times New Roman"/>
          <w:sz w:val="24"/>
          <w:szCs w:val="24"/>
        </w:rPr>
        <w:t xml:space="preserve">tenured </w:t>
      </w:r>
      <w:r w:rsidRPr="00D626B8">
        <w:rPr>
          <w:rFonts w:ascii="Times New Roman" w:eastAsia="Times New Roman" w:hAnsi="Times New Roman" w:cs="Times New Roman"/>
          <w:sz w:val="24"/>
          <w:szCs w:val="24"/>
        </w:rPr>
        <w:t xml:space="preserve">faculty member must show evidence of academic leadership and work that has had a demonstrable national/international impact and has received national/international recognition through external validation at the national level. Thus, the candidate for this level of promotion should have achieved a degree of professional stature and be recognized as making a significant contribution to high-quality and high-impact scholarship in the college and the profession at large. </w:t>
      </w:r>
    </w:p>
    <w:p w14:paraId="52A5698B" w14:textId="77777777" w:rsidR="002424FA" w:rsidRPr="00D626B8"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242AE3F5" w14:textId="36CFD679"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F1C232"/>
          <w:sz w:val="24"/>
          <w:szCs w:val="24"/>
        </w:rPr>
      </w:pPr>
      <w:r w:rsidRPr="00D626B8">
        <w:rPr>
          <w:rFonts w:ascii="Times New Roman" w:eastAsia="Times New Roman" w:hAnsi="Times New Roman" w:cs="Times New Roman"/>
          <w:sz w:val="24"/>
          <w:szCs w:val="24"/>
        </w:rPr>
        <w:t xml:space="preserve">The process for </w:t>
      </w:r>
      <w:r w:rsidR="00D80449">
        <w:rPr>
          <w:rFonts w:ascii="Times New Roman" w:eastAsia="Times New Roman" w:hAnsi="Times New Roman" w:cs="Times New Roman"/>
          <w:sz w:val="24"/>
          <w:szCs w:val="24"/>
        </w:rPr>
        <w:t>p</w:t>
      </w:r>
      <w:r w:rsidRPr="00D626B8">
        <w:rPr>
          <w:rFonts w:ascii="Times New Roman" w:eastAsia="Times New Roman" w:hAnsi="Times New Roman" w:cs="Times New Roman"/>
          <w:sz w:val="24"/>
          <w:szCs w:val="24"/>
        </w:rPr>
        <w:t xml:space="preserve">romotion to </w:t>
      </w:r>
      <w:r w:rsidR="00D80449">
        <w:rPr>
          <w:rFonts w:ascii="Times New Roman" w:eastAsia="Times New Roman" w:hAnsi="Times New Roman" w:cs="Times New Roman"/>
          <w:sz w:val="24"/>
          <w:szCs w:val="24"/>
        </w:rPr>
        <w:t>f</w:t>
      </w:r>
      <w:r w:rsidRPr="00D626B8">
        <w:rPr>
          <w:rFonts w:ascii="Times New Roman" w:eastAsia="Times New Roman" w:hAnsi="Times New Roman" w:cs="Times New Roman"/>
          <w:sz w:val="24"/>
          <w:szCs w:val="24"/>
        </w:rPr>
        <w:t xml:space="preserve">ull </w:t>
      </w:r>
      <w:r w:rsidR="00D80449">
        <w:rPr>
          <w:rFonts w:ascii="Times New Roman" w:eastAsia="Times New Roman" w:hAnsi="Times New Roman" w:cs="Times New Roman"/>
          <w:sz w:val="24"/>
          <w:szCs w:val="24"/>
        </w:rPr>
        <w:t>p</w:t>
      </w:r>
      <w:r w:rsidRPr="00D626B8">
        <w:rPr>
          <w:rFonts w:ascii="Times New Roman" w:eastAsia="Times New Roman" w:hAnsi="Times New Roman" w:cs="Times New Roman"/>
          <w:sz w:val="24"/>
          <w:szCs w:val="24"/>
        </w:rPr>
        <w:t xml:space="preserve">rofessor of </w:t>
      </w:r>
      <w:r w:rsidR="00D80449">
        <w:rPr>
          <w:rFonts w:ascii="Times New Roman" w:eastAsia="Times New Roman" w:hAnsi="Times New Roman" w:cs="Times New Roman"/>
          <w:sz w:val="24"/>
          <w:szCs w:val="24"/>
        </w:rPr>
        <w:t>t</w:t>
      </w:r>
      <w:r w:rsidRPr="00D626B8">
        <w:rPr>
          <w:rFonts w:ascii="Times New Roman" w:eastAsia="Times New Roman" w:hAnsi="Times New Roman" w:cs="Times New Roman"/>
          <w:sz w:val="24"/>
          <w:szCs w:val="24"/>
        </w:rPr>
        <w:t xml:space="preserve">enured </w:t>
      </w:r>
      <w:r w:rsidR="00D80449">
        <w:rPr>
          <w:rFonts w:ascii="Times New Roman" w:eastAsia="Times New Roman" w:hAnsi="Times New Roman" w:cs="Times New Roman"/>
          <w:sz w:val="24"/>
          <w:szCs w:val="24"/>
        </w:rPr>
        <w:t>f</w:t>
      </w:r>
      <w:r w:rsidRPr="00D626B8">
        <w:rPr>
          <w:rFonts w:ascii="Times New Roman" w:eastAsia="Times New Roman" w:hAnsi="Times New Roman" w:cs="Times New Roman"/>
          <w:sz w:val="24"/>
          <w:szCs w:val="24"/>
        </w:rPr>
        <w:t xml:space="preserve">aculty is detailed in the </w:t>
      </w:r>
      <w:hyperlink r:id="rId60" w:anchor="webspark-anchor-link--280">
        <w:r w:rsidR="00A5246B" w:rsidRPr="00EE3450">
          <w:rPr>
            <w:rFonts w:ascii="Times New Roman" w:eastAsia="Times New Roman" w:hAnsi="Times New Roman" w:cs="Times New Roman"/>
            <w:color w:val="0000FF"/>
            <w:sz w:val="24"/>
            <w:szCs w:val="24"/>
            <w:u w:val="single"/>
          </w:rPr>
          <w:t>Process Guide for Promotion and Tenure</w:t>
        </w:r>
      </w:hyperlink>
      <w:r w:rsidR="00A5246B">
        <w:rPr>
          <w:rFonts w:ascii="Times New Roman" w:eastAsia="Times New Roman" w:hAnsi="Times New Roman" w:cs="Times New Roman"/>
          <w:sz w:val="24"/>
          <w:szCs w:val="24"/>
        </w:rPr>
        <w:t>.</w:t>
      </w:r>
      <w:r w:rsidRPr="00D626B8">
        <w:rPr>
          <w:rFonts w:ascii="Times New Roman" w:eastAsia="Times New Roman" w:hAnsi="Times New Roman" w:cs="Times New Roman"/>
          <w:sz w:val="24"/>
          <w:szCs w:val="24"/>
        </w:rPr>
        <w:t xml:space="preserve"> </w:t>
      </w:r>
    </w:p>
    <w:p w14:paraId="4AA9EDBE" w14:textId="77777777" w:rsidR="002424FA"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F1C232"/>
          <w:sz w:val="24"/>
          <w:szCs w:val="24"/>
        </w:rPr>
      </w:pPr>
    </w:p>
    <w:p w14:paraId="1C77E0CF" w14:textId="00FDF841" w:rsidR="00752D14"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procedure for promotion to full professor is principally the same as that for promotion to associate professor, only full professors may participate in the college-level review process. If the current </w:t>
      </w:r>
      <w:r w:rsidR="002424FA">
        <w:rPr>
          <w:rFonts w:ascii="Times New Roman" w:eastAsia="Times New Roman" w:hAnsi="Times New Roman" w:cs="Times New Roman"/>
          <w:color w:val="000000"/>
          <w:sz w:val="24"/>
          <w:szCs w:val="24"/>
        </w:rPr>
        <w:t xml:space="preserve">TTE </w:t>
      </w:r>
      <w:r>
        <w:rPr>
          <w:rFonts w:ascii="Times New Roman" w:eastAsia="Times New Roman" w:hAnsi="Times New Roman" w:cs="Times New Roman"/>
          <w:color w:val="000000"/>
          <w:sz w:val="24"/>
          <w:szCs w:val="24"/>
        </w:rPr>
        <w:t>PEC does not include members who are all full professors, the dean shall assemble the needed cadre of full professors from within the college on an ad-hoc basis to complete the review</w:t>
      </w:r>
      <w:r w:rsidRPr="00D626B8">
        <w:rPr>
          <w:rFonts w:ascii="Times New Roman" w:eastAsia="Times New Roman" w:hAnsi="Times New Roman" w:cs="Times New Roman"/>
          <w:sz w:val="24"/>
          <w:szCs w:val="24"/>
        </w:rPr>
        <w:t>. Refer to MLFTC Bylaws for a detailed description of this process.</w:t>
      </w:r>
      <w:r>
        <w:rPr>
          <w:rFonts w:ascii="Times New Roman" w:eastAsia="Times New Roman" w:hAnsi="Times New Roman" w:cs="Times New Roman"/>
          <w:color w:val="000000"/>
          <w:sz w:val="24"/>
          <w:szCs w:val="24"/>
        </w:rPr>
        <w:t xml:space="preserve"> </w:t>
      </w:r>
    </w:p>
    <w:p w14:paraId="5DA6CBB1" w14:textId="77777777" w:rsidR="002424FA"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p>
    <w:p w14:paraId="3DF81E85" w14:textId="3FC4C555" w:rsidR="00752D14" w:rsidRPr="00EE3450"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Please see the </w:t>
      </w:r>
      <w:r w:rsidR="00102DC9">
        <w:rPr>
          <w:rFonts w:ascii="Times New Roman" w:eastAsia="Times New Roman" w:hAnsi="Times New Roman" w:cs="Times New Roman"/>
          <w:color w:val="000000"/>
          <w:sz w:val="24"/>
          <w:szCs w:val="24"/>
        </w:rPr>
        <w:t>ASU</w:t>
      </w:r>
      <w:r>
        <w:rPr>
          <w:rFonts w:ascii="Times New Roman" w:eastAsia="Times New Roman" w:hAnsi="Times New Roman" w:cs="Times New Roman"/>
          <w:color w:val="000000"/>
          <w:sz w:val="24"/>
          <w:szCs w:val="24"/>
        </w:rPr>
        <w:t xml:space="preserve"> </w:t>
      </w:r>
      <w:r w:rsidR="00102DC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rovost's "</w:t>
      </w:r>
      <w:hyperlink r:id="rId61">
        <w:r w:rsidRPr="00EE3450">
          <w:rPr>
            <w:rFonts w:ascii="Times New Roman" w:eastAsia="Times New Roman" w:hAnsi="Times New Roman" w:cs="Times New Roman"/>
            <w:color w:val="0000FF"/>
            <w:sz w:val="24"/>
            <w:szCs w:val="24"/>
            <w:u w:val="single"/>
          </w:rPr>
          <w:t>Promotion and Tenure</w:t>
        </w:r>
      </w:hyperlink>
      <w:r>
        <w:rPr>
          <w:rFonts w:ascii="Times New Roman" w:eastAsia="Times New Roman" w:hAnsi="Times New Roman" w:cs="Times New Roman"/>
          <w:color w:val="000000"/>
          <w:sz w:val="24"/>
          <w:szCs w:val="24"/>
        </w:rPr>
        <w:t xml:space="preserve">" site for more information. See also </w:t>
      </w:r>
      <w:r w:rsidRPr="00EE3450">
        <w:rPr>
          <w:rFonts w:ascii="Times New Roman" w:eastAsia="Times New Roman" w:hAnsi="Times New Roman" w:cs="Times New Roman"/>
          <w:color w:val="0000FF"/>
          <w:sz w:val="24"/>
          <w:szCs w:val="24"/>
          <w:u w:val="single"/>
        </w:rPr>
        <w:t xml:space="preserve">ACD </w:t>
      </w:r>
      <w:hyperlink r:id="rId62" w:history="1">
        <w:r w:rsidRPr="00EE3450">
          <w:rPr>
            <w:rStyle w:val="Hyperlink"/>
            <w:rFonts w:ascii="Times New Roman" w:eastAsia="Times New Roman" w:hAnsi="Times New Roman" w:cs="Times New Roman"/>
            <w:color w:val="0000FF"/>
            <w:sz w:val="24"/>
            <w:szCs w:val="24"/>
          </w:rPr>
          <w:t xml:space="preserve">506–01: </w:t>
        </w:r>
        <w:r w:rsidR="000D7D8D" w:rsidRPr="00EE3450">
          <w:rPr>
            <w:rStyle w:val="Hyperlink"/>
            <w:rFonts w:ascii="Times New Roman" w:eastAsia="Times New Roman" w:hAnsi="Times New Roman" w:cs="Times New Roman"/>
            <w:color w:val="0000FF"/>
            <w:sz w:val="24"/>
            <w:szCs w:val="24"/>
          </w:rPr>
          <w:t>Preamble for Promotion and Tenure</w:t>
        </w:r>
      </w:hyperlink>
      <w:r w:rsidRPr="00EE3450">
        <w:rPr>
          <w:rFonts w:ascii="Times New Roman" w:eastAsia="Times New Roman" w:hAnsi="Times New Roman" w:cs="Times New Roman"/>
          <w:color w:val="0000FF"/>
          <w:sz w:val="24"/>
          <w:szCs w:val="24"/>
        </w:rPr>
        <w:t xml:space="preserve">; </w:t>
      </w:r>
      <w:hyperlink r:id="rId63">
        <w:r w:rsidRPr="00EE3450">
          <w:rPr>
            <w:rFonts w:ascii="Times New Roman" w:eastAsia="Times New Roman" w:hAnsi="Times New Roman" w:cs="Times New Roman"/>
            <w:color w:val="0000FF"/>
            <w:sz w:val="24"/>
            <w:szCs w:val="24"/>
            <w:u w:val="single"/>
          </w:rPr>
          <w:t>ACD 506-04</w:t>
        </w:r>
      </w:hyperlink>
      <w:r w:rsidRPr="00EE3450">
        <w:rPr>
          <w:rFonts w:ascii="Times New Roman" w:eastAsia="Times New Roman" w:hAnsi="Times New Roman" w:cs="Times New Roman"/>
          <w:color w:val="0000FF"/>
          <w:sz w:val="24"/>
          <w:szCs w:val="24"/>
        </w:rPr>
        <w:t xml:space="preserve">; </w:t>
      </w:r>
      <w:hyperlink r:id="rId64">
        <w:r w:rsidRPr="00EE3450">
          <w:rPr>
            <w:rFonts w:ascii="Times New Roman" w:eastAsia="Times New Roman" w:hAnsi="Times New Roman" w:cs="Times New Roman"/>
            <w:color w:val="0000FF"/>
            <w:sz w:val="24"/>
            <w:szCs w:val="24"/>
            <w:u w:val="single"/>
          </w:rPr>
          <w:t xml:space="preserve">ACD 506–05: </w:t>
        </w:r>
        <w:r w:rsidR="000D7D8D" w:rsidRPr="00EE3450">
          <w:rPr>
            <w:rFonts w:ascii="Times New Roman" w:eastAsia="Times New Roman" w:hAnsi="Times New Roman" w:cs="Times New Roman"/>
            <w:color w:val="0000FF"/>
            <w:sz w:val="24"/>
            <w:szCs w:val="24"/>
            <w:u w:val="single"/>
          </w:rPr>
          <w:t xml:space="preserve">Faculty </w:t>
        </w:r>
        <w:r w:rsidRPr="00EE3450">
          <w:rPr>
            <w:rFonts w:ascii="Times New Roman" w:eastAsia="Times New Roman" w:hAnsi="Times New Roman" w:cs="Times New Roman"/>
            <w:color w:val="0000FF"/>
            <w:sz w:val="24"/>
            <w:szCs w:val="24"/>
            <w:u w:val="single"/>
          </w:rPr>
          <w:t>Promotion</w:t>
        </w:r>
      </w:hyperlink>
      <w:r w:rsidRPr="00EE3450">
        <w:rPr>
          <w:rFonts w:ascii="Times New Roman" w:eastAsia="Times New Roman" w:hAnsi="Times New Roman" w:cs="Times New Roman"/>
          <w:color w:val="0000FF"/>
          <w:sz w:val="24"/>
          <w:szCs w:val="24"/>
        </w:rPr>
        <w:t xml:space="preserve"> </w:t>
      </w:r>
    </w:p>
    <w:p w14:paraId="766B0096" w14:textId="77777777" w:rsidR="002424FA" w:rsidRPr="00EE3450"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FF"/>
        </w:rPr>
      </w:pPr>
    </w:p>
    <w:p w14:paraId="31557101" w14:textId="6C28193C" w:rsidR="002424FA" w:rsidRDefault="0035498F" w:rsidP="0017430C">
      <w:pPr>
        <w:pStyle w:val="Heading1"/>
        <w:spacing w:before="0" w:after="0" w:line="240" w:lineRule="auto"/>
        <w:ind w:left="1440"/>
        <w:rPr>
          <w:rFonts w:ascii="Times New Roman" w:eastAsia="Times New Roman" w:hAnsi="Times New Roman" w:cs="Times New Roman"/>
        </w:rPr>
      </w:pPr>
      <w:bookmarkStart w:id="31" w:name="_ihv636" w:colFirst="0" w:colLast="0"/>
      <w:bookmarkEnd w:id="31"/>
      <w:r>
        <w:rPr>
          <w:rFonts w:ascii="Times New Roman" w:eastAsia="Times New Roman" w:hAnsi="Times New Roman" w:cs="Times New Roman"/>
        </w:rPr>
        <w:t xml:space="preserve">5.0 Processes for </w:t>
      </w:r>
      <w:r w:rsidR="007271FE">
        <w:rPr>
          <w:rFonts w:ascii="Times New Roman" w:eastAsia="Times New Roman" w:hAnsi="Times New Roman" w:cs="Times New Roman"/>
        </w:rPr>
        <w:t>CT</w:t>
      </w:r>
      <w:r>
        <w:rPr>
          <w:rFonts w:ascii="Times New Roman" w:eastAsia="Times New Roman" w:hAnsi="Times New Roman" w:cs="Times New Roman"/>
        </w:rPr>
        <w:t xml:space="preserve"> Faculty</w:t>
      </w:r>
    </w:p>
    <w:p w14:paraId="72B7AC6E" w14:textId="020267D1" w:rsidR="00752D14" w:rsidRPr="002424FA" w:rsidRDefault="0035498F" w:rsidP="0017430C">
      <w:pPr>
        <w:pStyle w:val="Heading1"/>
        <w:spacing w:before="0" w:after="0" w:line="240" w:lineRule="auto"/>
        <w:ind w:left="1440"/>
        <w:rPr>
          <w:rFonts w:ascii="Times New Roman" w:eastAsia="Times New Roman" w:hAnsi="Times New Roman" w:cs="Times New Roman"/>
          <w:sz w:val="24"/>
          <w:szCs w:val="24"/>
        </w:rPr>
      </w:pPr>
      <w:r w:rsidRPr="002424FA">
        <w:rPr>
          <w:rFonts w:ascii="Times New Roman" w:eastAsia="Times New Roman" w:hAnsi="Times New Roman" w:cs="Times New Roman"/>
          <w:sz w:val="24"/>
          <w:szCs w:val="24"/>
        </w:rPr>
        <w:t xml:space="preserve"> </w:t>
      </w:r>
    </w:p>
    <w:p w14:paraId="0B5EE92E" w14:textId="60B0AC65" w:rsidR="00752D14" w:rsidRDefault="0035498F" w:rsidP="0017430C">
      <w:pPr>
        <w:pStyle w:val="Heading2"/>
        <w:spacing w:before="0" w:after="0"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rPr>
        <w:t xml:space="preserve">5.1 Promotion of </w:t>
      </w:r>
      <w:r w:rsidR="007271FE">
        <w:rPr>
          <w:rFonts w:ascii="Times New Roman" w:eastAsia="Times New Roman" w:hAnsi="Times New Roman" w:cs="Times New Roman"/>
        </w:rPr>
        <w:t>CT</w:t>
      </w:r>
      <w:r>
        <w:rPr>
          <w:rFonts w:ascii="Times New Roman" w:eastAsia="Times New Roman" w:hAnsi="Times New Roman" w:cs="Times New Roman"/>
        </w:rPr>
        <w:t xml:space="preserve"> Faculty </w:t>
      </w:r>
    </w:p>
    <w:p w14:paraId="62B2D59F" w14:textId="77777777" w:rsidR="002424FA"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1949A154" w14:textId="4246908F" w:rsidR="002E6CBC" w:rsidRDefault="000D01D6"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CT</w:t>
      </w:r>
      <w:r w:rsidR="0035498F" w:rsidRPr="007F3C5F">
        <w:rPr>
          <w:rFonts w:ascii="Times New Roman" w:eastAsia="Times New Roman" w:hAnsi="Times New Roman" w:cs="Times New Roman"/>
          <w:sz w:val="24"/>
          <w:szCs w:val="24"/>
        </w:rPr>
        <w:t xml:space="preserve"> faculty</w:t>
      </w:r>
      <w:r w:rsidR="002E6CBC">
        <w:rPr>
          <w:rFonts w:ascii="Times New Roman" w:eastAsia="Times New Roman" w:hAnsi="Times New Roman" w:cs="Times New Roman"/>
          <w:sz w:val="24"/>
          <w:szCs w:val="24"/>
        </w:rPr>
        <w:t xml:space="preserve">, again, </w:t>
      </w:r>
      <w:r>
        <w:rPr>
          <w:rFonts w:ascii="Times New Roman" w:eastAsia="Times New Roman" w:hAnsi="Times New Roman" w:cs="Times New Roman"/>
          <w:sz w:val="24"/>
          <w:szCs w:val="24"/>
        </w:rPr>
        <w:t xml:space="preserve">are </w:t>
      </w:r>
      <w:r w:rsidR="002E6CBC">
        <w:rPr>
          <w:rFonts w:ascii="Times New Roman" w:eastAsia="Times New Roman" w:hAnsi="Times New Roman" w:cs="Times New Roman"/>
          <w:sz w:val="24"/>
          <w:szCs w:val="24"/>
        </w:rPr>
        <w:t xml:space="preserve">defined above </w:t>
      </w:r>
      <w:r w:rsidR="002E6CBC" w:rsidRPr="008768A2">
        <w:rPr>
          <w:rFonts w:ascii="Times New Roman" w:eastAsia="Times New Roman" w:hAnsi="Times New Roman" w:cs="Times New Roman"/>
          <w:color w:val="000000" w:themeColor="text1"/>
          <w:sz w:val="24"/>
          <w:szCs w:val="24"/>
        </w:rPr>
        <w:t xml:space="preserve">as </w:t>
      </w:r>
      <w:r w:rsidR="00B96993" w:rsidRPr="008768A2">
        <w:rPr>
          <w:rFonts w:ascii="Times New Roman" w:eastAsia="Times New Roman" w:hAnsi="Times New Roman" w:cs="Times New Roman"/>
          <w:color w:val="000000" w:themeColor="text1"/>
          <w:sz w:val="24"/>
          <w:szCs w:val="24"/>
        </w:rPr>
        <w:t>(1) clinical faculty members (i.e., clinical assistant, associate, and full professors), (2) research faculty members (i.e., research assistant, associate, and full professors), (3) teaching faculty members (i.e., teaching assistant, associate, and full professors), (4) professors of practice (i.e., assistant, associate, and full professors of practice,), and (5) instructors (who are not ranked and do not have a promotion ladder).</w:t>
      </w:r>
    </w:p>
    <w:p w14:paraId="09D0B0DB" w14:textId="77777777" w:rsidR="002E6CBC" w:rsidRDefault="002E6CBC"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53244EDE" w14:textId="1EC5A102" w:rsidR="00752D14" w:rsidRPr="008768A2"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themeColor="text1"/>
          <w:sz w:val="24"/>
          <w:szCs w:val="24"/>
        </w:rPr>
      </w:pPr>
      <w:r w:rsidRPr="007F3C5F">
        <w:rPr>
          <w:rFonts w:ascii="Times New Roman" w:eastAsia="Times New Roman" w:hAnsi="Times New Roman" w:cs="Times New Roman"/>
          <w:sz w:val="24"/>
          <w:szCs w:val="24"/>
        </w:rPr>
        <w:t>It is understood that academic units will have different criteria for promotion in rank that depend upon the unit’s mission and goals</w:t>
      </w:r>
      <w:r>
        <w:rPr>
          <w:rFonts w:ascii="Times New Roman" w:eastAsia="Times New Roman" w:hAnsi="Times New Roman" w:cs="Times New Roman"/>
          <w:color w:val="38761D"/>
          <w:sz w:val="24"/>
          <w:szCs w:val="24"/>
        </w:rPr>
        <w:t xml:space="preserve"> </w:t>
      </w:r>
      <w:r w:rsidRPr="007F3C5F">
        <w:rPr>
          <w:rFonts w:ascii="Times New Roman" w:eastAsia="Times New Roman" w:hAnsi="Times New Roman" w:cs="Times New Roman"/>
          <w:sz w:val="24"/>
          <w:szCs w:val="24"/>
        </w:rPr>
        <w:t xml:space="preserve">(see </w:t>
      </w:r>
      <w:hyperlink r:id="rId65" w:history="1">
        <w:r w:rsidR="009719F8" w:rsidRPr="00BE624D">
          <w:rPr>
            <w:rStyle w:val="Hyperlink"/>
            <w:rFonts w:ascii="Times New Roman" w:eastAsia="Times New Roman" w:hAnsi="Times New Roman" w:cs="Times New Roman"/>
            <w:sz w:val="24"/>
            <w:szCs w:val="24"/>
          </w:rPr>
          <w:t>ACD 506-05</w:t>
        </w:r>
      </w:hyperlink>
      <w:r w:rsidRPr="007F3C5F">
        <w:rPr>
          <w:rFonts w:ascii="Times New Roman" w:eastAsia="Times New Roman" w:hAnsi="Times New Roman" w:cs="Times New Roman"/>
          <w:sz w:val="24"/>
          <w:szCs w:val="24"/>
        </w:rPr>
        <w:t>)</w:t>
      </w:r>
      <w:r>
        <w:rPr>
          <w:rFonts w:ascii="Times New Roman" w:eastAsia="Times New Roman" w:hAnsi="Times New Roman" w:cs="Times New Roman"/>
          <w:color w:val="38761D"/>
          <w:sz w:val="24"/>
          <w:szCs w:val="24"/>
        </w:rPr>
        <w:t xml:space="preserve">. </w:t>
      </w:r>
      <w:r w:rsidRPr="007F3C5F">
        <w:rPr>
          <w:rFonts w:ascii="Times New Roman" w:eastAsia="Times New Roman" w:hAnsi="Times New Roman" w:cs="Times New Roman"/>
          <w:sz w:val="24"/>
          <w:szCs w:val="24"/>
        </w:rPr>
        <w:t xml:space="preserve">In compliance with ABOR and ACD procedures, </w:t>
      </w:r>
      <w:r w:rsidR="00C33D78">
        <w:rPr>
          <w:rFonts w:ascii="Times New Roman" w:hAnsi="Times New Roman" w:cs="Times New Roman"/>
          <w:sz w:val="24"/>
          <w:szCs w:val="24"/>
        </w:rPr>
        <w:t xml:space="preserve">CT </w:t>
      </w:r>
      <w:r w:rsidRPr="007F3C5F">
        <w:rPr>
          <w:rFonts w:ascii="Times New Roman" w:eastAsia="Times New Roman" w:hAnsi="Times New Roman" w:cs="Times New Roman"/>
          <w:sz w:val="24"/>
          <w:szCs w:val="24"/>
        </w:rPr>
        <w:t xml:space="preserve">faculty members seeking promotion </w:t>
      </w:r>
      <w:r w:rsidR="009719F8">
        <w:rPr>
          <w:rFonts w:ascii="Times New Roman" w:eastAsia="Times New Roman" w:hAnsi="Times New Roman" w:cs="Times New Roman"/>
          <w:sz w:val="24"/>
          <w:szCs w:val="24"/>
        </w:rPr>
        <w:t xml:space="preserve">must </w:t>
      </w:r>
      <w:r w:rsidRPr="007F3C5F">
        <w:rPr>
          <w:rFonts w:ascii="Times New Roman" w:eastAsia="Times New Roman" w:hAnsi="Times New Roman" w:cs="Times New Roman"/>
          <w:sz w:val="24"/>
          <w:szCs w:val="24"/>
        </w:rPr>
        <w:t>submit a portfolio</w:t>
      </w:r>
      <w:r w:rsidR="00B0480F">
        <w:rPr>
          <w:rFonts w:ascii="Times New Roman" w:eastAsia="Times New Roman" w:hAnsi="Times New Roman" w:cs="Times New Roman"/>
          <w:sz w:val="24"/>
          <w:szCs w:val="24"/>
        </w:rPr>
        <w:t xml:space="preserve"> </w:t>
      </w:r>
      <w:r w:rsidRPr="007F3C5F">
        <w:rPr>
          <w:rFonts w:ascii="Times New Roman" w:eastAsia="Times New Roman" w:hAnsi="Times New Roman" w:cs="Times New Roman"/>
          <w:sz w:val="24"/>
          <w:szCs w:val="24"/>
        </w:rPr>
        <w:t xml:space="preserve">that provides convincing evidence of </w:t>
      </w:r>
      <w:r w:rsidRPr="008768A2">
        <w:rPr>
          <w:rFonts w:ascii="Times New Roman" w:eastAsia="Times New Roman" w:hAnsi="Times New Roman" w:cs="Times New Roman"/>
          <w:color w:val="000000" w:themeColor="text1"/>
          <w:sz w:val="24"/>
          <w:szCs w:val="24"/>
        </w:rPr>
        <w:t>accomplishments according to the description of their position and expectations in teaching</w:t>
      </w:r>
      <w:r w:rsidR="009719F8" w:rsidRPr="008768A2">
        <w:rPr>
          <w:rFonts w:ascii="Times New Roman" w:eastAsia="Times New Roman" w:hAnsi="Times New Roman" w:cs="Times New Roman"/>
          <w:color w:val="000000" w:themeColor="text1"/>
          <w:sz w:val="24"/>
          <w:szCs w:val="24"/>
        </w:rPr>
        <w:t>,</w:t>
      </w:r>
      <w:r w:rsidRPr="008768A2">
        <w:rPr>
          <w:rFonts w:ascii="Times New Roman" w:eastAsia="Times New Roman" w:hAnsi="Times New Roman" w:cs="Times New Roman"/>
          <w:color w:val="000000" w:themeColor="text1"/>
          <w:sz w:val="24"/>
          <w:szCs w:val="24"/>
        </w:rPr>
        <w:t xml:space="preserve"> service</w:t>
      </w:r>
      <w:r w:rsidR="00066A30" w:rsidRPr="008768A2">
        <w:rPr>
          <w:rFonts w:ascii="Times New Roman" w:eastAsia="Times New Roman" w:hAnsi="Times New Roman" w:cs="Times New Roman"/>
          <w:color w:val="000000" w:themeColor="text1"/>
          <w:sz w:val="24"/>
          <w:szCs w:val="24"/>
        </w:rPr>
        <w:t>, a</w:t>
      </w:r>
      <w:r w:rsidR="00A5246B" w:rsidRPr="008768A2">
        <w:rPr>
          <w:rFonts w:ascii="Times New Roman" w:eastAsia="Times New Roman" w:hAnsi="Times New Roman" w:cs="Times New Roman"/>
          <w:color w:val="000000" w:themeColor="text1"/>
          <w:sz w:val="24"/>
          <w:szCs w:val="24"/>
        </w:rPr>
        <w:t>n</w:t>
      </w:r>
      <w:r w:rsidR="00066A30" w:rsidRPr="008768A2">
        <w:rPr>
          <w:rFonts w:ascii="Times New Roman" w:eastAsia="Times New Roman" w:hAnsi="Times New Roman" w:cs="Times New Roman"/>
          <w:color w:val="000000" w:themeColor="text1"/>
          <w:sz w:val="24"/>
          <w:szCs w:val="24"/>
        </w:rPr>
        <w:t>d scholarship (if applicable)</w:t>
      </w:r>
      <w:r w:rsidRPr="008768A2">
        <w:rPr>
          <w:rFonts w:ascii="Times New Roman" w:eastAsia="Times New Roman" w:hAnsi="Times New Roman" w:cs="Times New Roman"/>
          <w:color w:val="000000" w:themeColor="text1"/>
          <w:sz w:val="24"/>
          <w:szCs w:val="24"/>
        </w:rPr>
        <w:t>. The recommendation for promotion should be based on accomplishment</w:t>
      </w:r>
      <w:r w:rsidR="009719F8" w:rsidRPr="008768A2">
        <w:rPr>
          <w:rFonts w:ascii="Times New Roman" w:eastAsia="Times New Roman" w:hAnsi="Times New Roman" w:cs="Times New Roman"/>
          <w:color w:val="000000" w:themeColor="text1"/>
          <w:sz w:val="24"/>
          <w:szCs w:val="24"/>
        </w:rPr>
        <w:t>s</w:t>
      </w:r>
      <w:r w:rsidRPr="008768A2">
        <w:rPr>
          <w:rFonts w:ascii="Times New Roman" w:eastAsia="Times New Roman" w:hAnsi="Times New Roman" w:cs="Times New Roman"/>
          <w:color w:val="000000" w:themeColor="text1"/>
          <w:sz w:val="24"/>
          <w:szCs w:val="24"/>
        </w:rPr>
        <w:t xml:space="preserve"> in the relevant areas that correspond to the position in teaching (as appropriate), service (as appropriate)</w:t>
      </w:r>
      <w:r w:rsidR="009060F5" w:rsidRPr="008768A2">
        <w:rPr>
          <w:rFonts w:ascii="Times New Roman" w:eastAsia="Times New Roman" w:hAnsi="Times New Roman" w:cs="Times New Roman"/>
          <w:color w:val="000000" w:themeColor="text1"/>
          <w:sz w:val="24"/>
          <w:szCs w:val="24"/>
        </w:rPr>
        <w:t>, and scholarship (as appropriate)</w:t>
      </w:r>
      <w:r w:rsidRPr="008768A2">
        <w:rPr>
          <w:rFonts w:ascii="Times New Roman" w:eastAsia="Times New Roman" w:hAnsi="Times New Roman" w:cs="Times New Roman"/>
          <w:color w:val="000000" w:themeColor="text1"/>
          <w:sz w:val="24"/>
          <w:szCs w:val="24"/>
        </w:rPr>
        <w:t xml:space="preserve"> as delineated in the S</w:t>
      </w:r>
      <w:r w:rsidR="009719F8" w:rsidRPr="008768A2">
        <w:rPr>
          <w:rFonts w:ascii="Times New Roman" w:eastAsia="Times New Roman" w:hAnsi="Times New Roman" w:cs="Times New Roman"/>
          <w:color w:val="000000" w:themeColor="text1"/>
          <w:sz w:val="24"/>
          <w:szCs w:val="24"/>
        </w:rPr>
        <w:t>oAs</w:t>
      </w:r>
      <w:r w:rsidR="00646C37" w:rsidRPr="008768A2">
        <w:rPr>
          <w:rFonts w:ascii="Times New Roman" w:eastAsia="Times New Roman" w:hAnsi="Times New Roman" w:cs="Times New Roman"/>
          <w:color w:val="000000" w:themeColor="text1"/>
          <w:sz w:val="24"/>
          <w:szCs w:val="24"/>
        </w:rPr>
        <w:t xml:space="preserve">. </w:t>
      </w:r>
      <w:r w:rsidRPr="008768A2">
        <w:rPr>
          <w:rFonts w:ascii="Times New Roman" w:eastAsia="Times New Roman" w:hAnsi="Times New Roman" w:cs="Times New Roman"/>
          <w:color w:val="000000" w:themeColor="text1"/>
          <w:sz w:val="24"/>
          <w:szCs w:val="24"/>
        </w:rPr>
        <w:t xml:space="preserve">The record must be consistent and forecast continued accomplishment. In addition to demonstrating accomplishment in </w:t>
      </w:r>
      <w:r w:rsidR="009060F5" w:rsidRPr="008768A2">
        <w:rPr>
          <w:rFonts w:ascii="Times New Roman" w:eastAsia="Times New Roman" w:hAnsi="Times New Roman" w:cs="Times New Roman"/>
          <w:color w:val="000000" w:themeColor="text1"/>
          <w:sz w:val="24"/>
          <w:szCs w:val="24"/>
        </w:rPr>
        <w:t>teaching, service, a</w:t>
      </w:r>
      <w:r w:rsidR="007F32C2" w:rsidRPr="008768A2">
        <w:rPr>
          <w:rFonts w:ascii="Times New Roman" w:eastAsia="Times New Roman" w:hAnsi="Times New Roman" w:cs="Times New Roman"/>
          <w:color w:val="000000" w:themeColor="text1"/>
          <w:sz w:val="24"/>
          <w:szCs w:val="24"/>
        </w:rPr>
        <w:t>n</w:t>
      </w:r>
      <w:r w:rsidR="009060F5" w:rsidRPr="008768A2">
        <w:rPr>
          <w:rFonts w:ascii="Times New Roman" w:eastAsia="Times New Roman" w:hAnsi="Times New Roman" w:cs="Times New Roman"/>
          <w:color w:val="000000" w:themeColor="text1"/>
          <w:sz w:val="24"/>
          <w:szCs w:val="24"/>
        </w:rPr>
        <w:t xml:space="preserve">d scholarship (if applicable) </w:t>
      </w:r>
      <w:r w:rsidRPr="008768A2">
        <w:rPr>
          <w:rFonts w:ascii="Times New Roman" w:eastAsia="Times New Roman" w:hAnsi="Times New Roman" w:cs="Times New Roman"/>
          <w:color w:val="000000" w:themeColor="text1"/>
          <w:sz w:val="24"/>
          <w:szCs w:val="24"/>
        </w:rPr>
        <w:t xml:space="preserve">according to their </w:t>
      </w:r>
      <w:r w:rsidR="002E6CBC" w:rsidRPr="008768A2">
        <w:rPr>
          <w:rFonts w:ascii="Times New Roman" w:eastAsia="Times New Roman" w:hAnsi="Times New Roman" w:cs="Times New Roman"/>
          <w:color w:val="000000" w:themeColor="text1"/>
          <w:sz w:val="24"/>
          <w:szCs w:val="24"/>
        </w:rPr>
        <w:t xml:space="preserve">position descriptions and </w:t>
      </w:r>
      <w:r w:rsidRPr="008768A2">
        <w:rPr>
          <w:rFonts w:ascii="Times New Roman" w:eastAsia="Times New Roman" w:hAnsi="Times New Roman" w:cs="Times New Roman"/>
          <w:color w:val="000000" w:themeColor="text1"/>
          <w:sz w:val="24"/>
          <w:szCs w:val="24"/>
        </w:rPr>
        <w:t xml:space="preserve">annual workload assignments, the faculty member must also demonstrate leadership and work that has had a demonstrable impact and has received recognition. </w:t>
      </w:r>
    </w:p>
    <w:p w14:paraId="5D3034B0" w14:textId="77777777" w:rsidR="002424FA" w:rsidRDefault="002424FA"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sz w:val="24"/>
          <w:szCs w:val="24"/>
        </w:rPr>
      </w:pPr>
    </w:p>
    <w:p w14:paraId="413D3D4C" w14:textId="2FE44D68" w:rsidR="00646C37" w:rsidRDefault="0035498F" w:rsidP="0017430C">
      <w:pPr>
        <w:widowControl w:val="0"/>
        <w:pBdr>
          <w:top w:val="nil"/>
          <w:left w:val="nil"/>
          <w:bottom w:val="nil"/>
          <w:right w:val="nil"/>
          <w:between w:val="nil"/>
        </w:pBdr>
        <w:spacing w:line="240" w:lineRule="auto"/>
        <w:ind w:left="1440" w:righ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terms of process</w:t>
      </w:r>
      <w:r w:rsidR="002E6CBC">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C33D78">
        <w:rPr>
          <w:rFonts w:ascii="Times New Roman" w:hAnsi="Times New Roman" w:cs="Times New Roman"/>
          <w:sz w:val="24"/>
          <w:szCs w:val="24"/>
        </w:rPr>
        <w:t>CT</w:t>
      </w:r>
      <w:r w:rsidR="00C33D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faculty who are considering seeking promotion should initiate the process by </w:t>
      </w:r>
      <w:r w:rsidRPr="00E91082">
        <w:rPr>
          <w:rFonts w:ascii="Times New Roman" w:eastAsia="Times New Roman" w:hAnsi="Times New Roman" w:cs="Times New Roman"/>
          <w:color w:val="000000" w:themeColor="text1"/>
          <w:sz w:val="24"/>
          <w:szCs w:val="24"/>
        </w:rPr>
        <w:t xml:space="preserve">speaking to </w:t>
      </w:r>
      <w:r w:rsidR="00417A4D" w:rsidRPr="00E91082">
        <w:rPr>
          <w:rFonts w:ascii="Times New Roman" w:eastAsia="Times New Roman" w:hAnsi="Times New Roman" w:cs="Times New Roman"/>
          <w:color w:val="000000" w:themeColor="text1"/>
          <w:sz w:val="24"/>
          <w:szCs w:val="24"/>
        </w:rPr>
        <w:t>their</w:t>
      </w:r>
      <w:r w:rsidRPr="00E91082">
        <w:rPr>
          <w:rFonts w:ascii="Times New Roman" w:eastAsia="Times New Roman" w:hAnsi="Times New Roman" w:cs="Times New Roman"/>
          <w:color w:val="000000" w:themeColor="text1"/>
          <w:sz w:val="24"/>
          <w:szCs w:val="24"/>
        </w:rPr>
        <w:t xml:space="preserve"> vice dean </w:t>
      </w:r>
      <w:r w:rsidRPr="00E91082">
        <w:rPr>
          <w:rFonts w:ascii="Times New Roman" w:eastAsia="Times New Roman" w:hAnsi="Times New Roman" w:cs="Times New Roman"/>
          <w:color w:val="000000" w:themeColor="text1"/>
          <w:sz w:val="24"/>
          <w:szCs w:val="24"/>
          <w:highlight w:val="white"/>
        </w:rPr>
        <w:t xml:space="preserve">by </w:t>
      </w:r>
      <w:r>
        <w:rPr>
          <w:rFonts w:ascii="Times New Roman" w:eastAsia="Times New Roman" w:hAnsi="Times New Roman" w:cs="Times New Roman"/>
          <w:color w:val="000000"/>
          <w:sz w:val="24"/>
          <w:szCs w:val="24"/>
          <w:highlight w:val="white"/>
        </w:rPr>
        <w:t xml:space="preserve">the date </w:t>
      </w:r>
      <w:r w:rsidR="009719F8" w:rsidRPr="00D626B8">
        <w:rPr>
          <w:rFonts w:ascii="Times New Roman" w:eastAsia="Times New Roman" w:hAnsi="Times New Roman" w:cs="Times New Roman"/>
          <w:sz w:val="24"/>
          <w:szCs w:val="24"/>
        </w:rPr>
        <w:t>provided by MLFTC</w:t>
      </w:r>
      <w:r>
        <w:rPr>
          <w:rFonts w:ascii="Times New Roman" w:eastAsia="Times New Roman" w:hAnsi="Times New Roman" w:cs="Times New Roman"/>
          <w:color w:val="000000"/>
          <w:sz w:val="24"/>
          <w:szCs w:val="24"/>
        </w:rPr>
        <w:t xml:space="preserve">, and familiarize themselves with the promotion process and the university’s portfolio submission requirements </w:t>
      </w:r>
      <w:r>
        <w:rPr>
          <w:rFonts w:ascii="Times New Roman" w:eastAsia="Times New Roman" w:hAnsi="Times New Roman" w:cs="Times New Roman"/>
          <w:color w:val="000000"/>
          <w:sz w:val="24"/>
          <w:szCs w:val="24"/>
        </w:rPr>
        <w:lastRenderedPageBreak/>
        <w:t>outlined within the</w:t>
      </w:r>
      <w:r w:rsidR="00102DC9">
        <w:rPr>
          <w:rFonts w:ascii="Times New Roman" w:eastAsia="Times New Roman" w:hAnsi="Times New Roman" w:cs="Times New Roman"/>
          <w:color w:val="000000"/>
          <w:sz w:val="24"/>
          <w:szCs w:val="24"/>
        </w:rPr>
        <w:t xml:space="preserve"> ASU</w:t>
      </w:r>
      <w:r>
        <w:rPr>
          <w:rFonts w:ascii="Times New Roman" w:eastAsia="Times New Roman" w:hAnsi="Times New Roman" w:cs="Times New Roman"/>
          <w:color w:val="000000"/>
          <w:sz w:val="24"/>
          <w:szCs w:val="24"/>
        </w:rPr>
        <w:t xml:space="preserve"> provost’s promotion guidelines </w:t>
      </w:r>
      <w:hyperlink r:id="rId66">
        <w:r w:rsidRPr="00EE3450">
          <w:rPr>
            <w:rFonts w:ascii="Times New Roman" w:eastAsia="Times New Roman" w:hAnsi="Times New Roman" w:cs="Times New Roman"/>
            <w:color w:val="0000FF"/>
            <w:sz w:val="24"/>
            <w:szCs w:val="24"/>
            <w:u w:val="single"/>
          </w:rPr>
          <w:t>here</w:t>
        </w:r>
      </w:hyperlink>
      <w:r>
        <w:rPr>
          <w:rFonts w:ascii="Times New Roman" w:eastAsia="Times New Roman" w:hAnsi="Times New Roman" w:cs="Times New Roman"/>
          <w:color w:val="000000"/>
          <w:sz w:val="24"/>
          <w:szCs w:val="24"/>
        </w:rPr>
        <w:t xml:space="preserve">. </w:t>
      </w:r>
      <w:r w:rsidR="00646C37">
        <w:rPr>
          <w:rFonts w:ascii="Times New Roman" w:eastAsia="Times New Roman" w:hAnsi="Times New Roman" w:cs="Times New Roman"/>
          <w:color w:val="000000"/>
          <w:sz w:val="24"/>
          <w:szCs w:val="24"/>
        </w:rPr>
        <w:t xml:space="preserve">More specific details for each type of </w:t>
      </w:r>
      <w:r w:rsidR="00C33D78">
        <w:rPr>
          <w:rFonts w:ascii="Times New Roman" w:hAnsi="Times New Roman" w:cs="Times New Roman"/>
          <w:sz w:val="24"/>
          <w:szCs w:val="24"/>
        </w:rPr>
        <w:t>CT</w:t>
      </w:r>
      <w:r w:rsidR="00C33D78">
        <w:rPr>
          <w:rFonts w:ascii="Times New Roman" w:eastAsia="Times New Roman" w:hAnsi="Times New Roman" w:cs="Times New Roman"/>
          <w:color w:val="000000"/>
          <w:sz w:val="24"/>
          <w:szCs w:val="24"/>
        </w:rPr>
        <w:t xml:space="preserve"> </w:t>
      </w:r>
      <w:r w:rsidR="00646C37">
        <w:rPr>
          <w:rFonts w:ascii="Times New Roman" w:eastAsia="Times New Roman" w:hAnsi="Times New Roman" w:cs="Times New Roman"/>
          <w:color w:val="000000"/>
          <w:sz w:val="24"/>
          <w:szCs w:val="24"/>
        </w:rPr>
        <w:t xml:space="preserve">faculty, defined prior, </w:t>
      </w:r>
      <w:r w:rsidR="00963F17">
        <w:rPr>
          <w:rFonts w:ascii="Times New Roman" w:eastAsia="Times New Roman" w:hAnsi="Times New Roman" w:cs="Times New Roman"/>
          <w:color w:val="000000"/>
          <w:sz w:val="24"/>
          <w:szCs w:val="24"/>
        </w:rPr>
        <w:t xml:space="preserve">are </w:t>
      </w:r>
      <w:r w:rsidR="00646C37">
        <w:rPr>
          <w:rFonts w:ascii="Times New Roman" w:eastAsia="Times New Roman" w:hAnsi="Times New Roman" w:cs="Times New Roman"/>
          <w:color w:val="000000"/>
          <w:sz w:val="24"/>
          <w:szCs w:val="24"/>
        </w:rPr>
        <w:t>below.</w:t>
      </w:r>
    </w:p>
    <w:p w14:paraId="7982B9AB" w14:textId="74D2972C" w:rsidR="00646C37" w:rsidRPr="008768A2" w:rsidRDefault="00646C37" w:rsidP="00202C0A">
      <w:pPr>
        <w:pStyle w:val="Heading3"/>
        <w:widowControl w:val="0"/>
        <w:spacing w:after="0" w:line="240" w:lineRule="auto"/>
        <w:ind w:left="1440" w:right="1440"/>
        <w:rPr>
          <w:rFonts w:ascii="Times New Roman" w:eastAsia="Times New Roman" w:hAnsi="Times New Roman" w:cs="Times New Roman"/>
          <w:color w:val="000000" w:themeColor="text1"/>
        </w:rPr>
      </w:pPr>
      <w:r w:rsidRPr="008768A2">
        <w:rPr>
          <w:rFonts w:ascii="Times New Roman" w:eastAsia="Times New Roman" w:hAnsi="Times New Roman" w:cs="Times New Roman"/>
          <w:color w:val="000000" w:themeColor="text1"/>
        </w:rPr>
        <w:t xml:space="preserve">5.1.1 Promotion of Clinical Faculty </w:t>
      </w:r>
    </w:p>
    <w:p w14:paraId="7C3627BC" w14:textId="77777777" w:rsidR="00646C37" w:rsidRPr="008768A2" w:rsidRDefault="00646C37" w:rsidP="00202C0A">
      <w:pPr>
        <w:ind w:left="1440" w:right="1440"/>
        <w:rPr>
          <w:color w:val="000000" w:themeColor="text1"/>
        </w:rPr>
      </w:pPr>
    </w:p>
    <w:p w14:paraId="16DF794E" w14:textId="1245A868" w:rsidR="00646C37"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According to </w:t>
      </w:r>
      <w:hyperlink r:id="rId67" w:history="1">
        <w:r w:rsidRPr="00646C37">
          <w:rPr>
            <w:rStyle w:val="Hyperlink"/>
            <w:rFonts w:ascii="Times New Roman" w:hAnsi="Times New Roman" w:cs="Times New Roman"/>
            <w:sz w:val="24"/>
            <w:szCs w:val="24"/>
          </w:rPr>
          <w:t>ACD 505-02</w:t>
        </w:r>
      </w:hyperlink>
      <w:r w:rsidRPr="00646C37">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“Clinical faculty are fixed-term faculty members who are qualified by training, experience, or education to direct or participate </w:t>
      </w:r>
      <w:r w:rsidRPr="008768A2">
        <w:rPr>
          <w:rFonts w:ascii="Times New Roman" w:hAnsi="Times New Roman" w:cs="Times New Roman"/>
          <w:bCs/>
          <w:color w:val="000000" w:themeColor="text1"/>
          <w:sz w:val="24"/>
          <w:szCs w:val="24"/>
        </w:rPr>
        <w:t xml:space="preserve">in </w:t>
      </w:r>
      <w:r w:rsidRPr="008768A2">
        <w:rPr>
          <w:rFonts w:ascii="Times New Roman" w:hAnsi="Times New Roman" w:cs="Times New Roman"/>
          <w:color w:val="000000" w:themeColor="text1"/>
          <w:sz w:val="24"/>
          <w:szCs w:val="24"/>
        </w:rPr>
        <w:t xml:space="preserve">specialized university functions, including teaching, student internships, training, or other practice components of degree programs. Responsibilities of clinical faculty may encompass any area of professional practice and/or technical expertise and may include professional development.” The dean or vice dean may assign a clinical faculty member to a specific workload distribution related to program administration/coordination or any other relevant role. Scholarship is not a required or typical component of this position.  </w:t>
      </w:r>
    </w:p>
    <w:p w14:paraId="163D6793"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4CBB3BC2" w14:textId="6B7FCD0F" w:rsidR="00646C37" w:rsidRPr="00646C37" w:rsidRDefault="00646C37" w:rsidP="00202C0A">
      <w:pPr>
        <w:spacing w:line="240" w:lineRule="auto"/>
        <w:ind w:left="1440" w:right="1440"/>
        <w:rPr>
          <w:rFonts w:ascii="Times New Roman" w:hAnsi="Times New Roman" w:cs="Times New Roman"/>
          <w:sz w:val="24"/>
          <w:szCs w:val="24"/>
        </w:rPr>
      </w:pPr>
      <w:r w:rsidRPr="008768A2">
        <w:rPr>
          <w:rFonts w:ascii="Times New Roman" w:hAnsi="Times New Roman" w:cs="Times New Roman"/>
          <w:color w:val="000000" w:themeColor="text1"/>
          <w:sz w:val="24"/>
          <w:szCs w:val="24"/>
        </w:rPr>
        <w:t xml:space="preserve">Clinical faculty may be at the rank of clinical assistant, clinical associate, or clinical full professor. Rank designates the degree to which a member of the clinical faculty has achieved excellence in the work they do, demonstrated program-, college-, or enterprise-level success, and shown leadership and impact in their area of expertise. </w:t>
      </w:r>
      <w:r w:rsidR="000D01D6" w:rsidRPr="008768A2">
        <w:rPr>
          <w:rFonts w:ascii="Times New Roman" w:hAnsi="Times New Roman" w:cs="Times New Roman"/>
          <w:color w:val="000000" w:themeColor="text1"/>
          <w:sz w:val="24"/>
          <w:szCs w:val="24"/>
        </w:rPr>
        <w:t xml:space="preserve">Clinical faculty at any level can stay in their current rank until they choose to seek promotion. </w:t>
      </w:r>
      <w:r w:rsidRPr="008768A2">
        <w:rPr>
          <w:rFonts w:ascii="Times New Roman" w:hAnsi="Times New Roman" w:cs="Times New Roman"/>
          <w:color w:val="000000" w:themeColor="text1"/>
          <w:sz w:val="24"/>
          <w:szCs w:val="24"/>
        </w:rPr>
        <w:t xml:space="preserve">Clinical faculty are also expected to uphold and align their work with the </w:t>
      </w:r>
      <w:hyperlink r:id="rId68" w:anchor=":~:text=ASU%20is%20a%20comprehensive%20public,of%20the%20communities%20it%20serves" w:history="1">
        <w:r w:rsidRPr="00646C37">
          <w:rPr>
            <w:rStyle w:val="Hyperlink"/>
            <w:rFonts w:ascii="Times New Roman" w:hAnsi="Times New Roman" w:cs="Times New Roman"/>
            <w:sz w:val="24"/>
            <w:szCs w:val="24"/>
          </w:rPr>
          <w:t>ASU Charter</w:t>
        </w:r>
      </w:hyperlink>
      <w:r w:rsidRPr="00646C37">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and </w:t>
      </w:r>
      <w:hyperlink r:id="rId69" w:history="1">
        <w:r w:rsidRPr="00646C37">
          <w:rPr>
            <w:rStyle w:val="Hyperlink"/>
            <w:rFonts w:ascii="Times New Roman" w:hAnsi="Times New Roman" w:cs="Times New Roman"/>
            <w:sz w:val="24"/>
            <w:szCs w:val="24"/>
          </w:rPr>
          <w:t>ASU’s Design Aspirations</w:t>
        </w:r>
      </w:hyperlink>
      <w:r w:rsidRPr="00646C37">
        <w:rPr>
          <w:rFonts w:ascii="Times New Roman" w:hAnsi="Times New Roman" w:cs="Times New Roman"/>
          <w:sz w:val="24"/>
          <w:szCs w:val="24"/>
        </w:rPr>
        <w:t xml:space="preserve">. </w:t>
      </w:r>
    </w:p>
    <w:p w14:paraId="45F054A6" w14:textId="77777777" w:rsidR="00646C37" w:rsidRPr="00646C37" w:rsidRDefault="00646C37" w:rsidP="00202C0A">
      <w:pPr>
        <w:spacing w:line="240" w:lineRule="auto"/>
        <w:ind w:left="1440" w:right="1440"/>
        <w:rPr>
          <w:rFonts w:ascii="Times New Roman" w:hAnsi="Times New Roman" w:cs="Times New Roman"/>
          <w:sz w:val="24"/>
          <w:szCs w:val="24"/>
        </w:rPr>
      </w:pPr>
    </w:p>
    <w:p w14:paraId="2FEC2F9C" w14:textId="4EC18774" w:rsidR="00646C37"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Clinical faculty will be evaluated for promotion to the ranks of clinical associate professor </w:t>
      </w:r>
      <w:proofErr w:type="spellStart"/>
      <w:r w:rsidRPr="008768A2">
        <w:rPr>
          <w:rFonts w:ascii="Times New Roman" w:hAnsi="Times New Roman" w:cs="Times New Roman"/>
          <w:color w:val="000000" w:themeColor="text1"/>
          <w:sz w:val="24"/>
          <w:szCs w:val="24"/>
        </w:rPr>
        <w:t>or</w:t>
      </w:r>
      <w:proofErr w:type="spellEnd"/>
      <w:r w:rsidRPr="008768A2">
        <w:rPr>
          <w:rFonts w:ascii="Times New Roman" w:hAnsi="Times New Roman" w:cs="Times New Roman"/>
          <w:color w:val="000000" w:themeColor="text1"/>
          <w:sz w:val="24"/>
          <w:szCs w:val="24"/>
        </w:rPr>
        <w:t xml:space="preserve"> clinical full professor using the criteria for teaching and service described in the</w:t>
      </w:r>
      <w:r w:rsidR="00202C0A" w:rsidRPr="008768A2">
        <w:rPr>
          <w:rFonts w:ascii="Times New Roman" w:hAnsi="Times New Roman" w:cs="Times New Roman"/>
          <w:color w:val="000000" w:themeColor="text1"/>
          <w:sz w:val="24"/>
          <w:szCs w:val="24"/>
        </w:rPr>
        <w:t xml:space="preserve"> MLFTC SoAs Sections 2.2.2 and 2.2.3.</w:t>
      </w:r>
      <w:r w:rsidRPr="008768A2">
        <w:rPr>
          <w:rFonts w:ascii="Times New Roman" w:hAnsi="Times New Roman" w:cs="Times New Roman"/>
          <w:color w:val="000000" w:themeColor="text1"/>
          <w:sz w:val="24"/>
          <w:szCs w:val="24"/>
        </w:rPr>
        <w:t xml:space="preserve"> A case for promotion must be linked to excellence in instruction</w:t>
      </w:r>
      <w:r w:rsidR="00202C0A" w:rsidRPr="008768A2">
        <w:rPr>
          <w:rFonts w:ascii="Times New Roman" w:hAnsi="Times New Roman" w:cs="Times New Roman"/>
          <w:color w:val="000000" w:themeColor="text1"/>
          <w:sz w:val="24"/>
          <w:szCs w:val="24"/>
        </w:rPr>
        <w:t xml:space="preserve"> or </w:t>
      </w:r>
      <w:r w:rsidRPr="008768A2">
        <w:rPr>
          <w:rFonts w:ascii="Times New Roman" w:hAnsi="Times New Roman" w:cs="Times New Roman"/>
          <w:color w:val="000000" w:themeColor="text1"/>
          <w:sz w:val="24"/>
          <w:szCs w:val="24"/>
        </w:rPr>
        <w:t>instructional activities, including clinical supervision and mentoring. Scholarship or research which, again, is not part of a clinical faculty member’s negotiated workload is considered under the teaching or professional service categories, as applicable, for annual reviews and promotion.</w:t>
      </w:r>
    </w:p>
    <w:p w14:paraId="12EB3C35"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4D1DA66F" w14:textId="4DFE762F" w:rsidR="00646C37" w:rsidRPr="008768A2" w:rsidRDefault="00646C37" w:rsidP="00202C0A">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b/>
          <w:bCs/>
          <w:color w:val="000000" w:themeColor="text1"/>
          <w:sz w:val="24"/>
          <w:szCs w:val="24"/>
        </w:rPr>
        <w:t xml:space="preserve">5.1.1.1 </w:t>
      </w:r>
      <w:r w:rsidRPr="008768A2">
        <w:rPr>
          <w:rFonts w:ascii="Times New Roman" w:hAnsi="Times New Roman" w:cs="Times New Roman"/>
          <w:b/>
          <w:color w:val="000000" w:themeColor="text1"/>
          <w:sz w:val="24"/>
          <w:szCs w:val="24"/>
        </w:rPr>
        <w:t>Criteria for Promotion to the Rank of Clinical Associate Professor</w:t>
      </w:r>
    </w:p>
    <w:p w14:paraId="0586CCCA" w14:textId="77777777" w:rsidR="00646C37" w:rsidRPr="008768A2" w:rsidRDefault="00646C37" w:rsidP="00202C0A">
      <w:pPr>
        <w:spacing w:line="240" w:lineRule="auto"/>
        <w:ind w:left="1440" w:right="1440"/>
        <w:rPr>
          <w:rFonts w:ascii="Times New Roman" w:hAnsi="Times New Roman" w:cs="Times New Roman"/>
          <w:b/>
          <w:color w:val="000000" w:themeColor="text1"/>
          <w:sz w:val="24"/>
          <w:szCs w:val="24"/>
        </w:rPr>
      </w:pPr>
    </w:p>
    <w:p w14:paraId="1F6B1A68" w14:textId="1D7AC021" w:rsidR="00646C37" w:rsidRPr="00646C37" w:rsidRDefault="00646C37" w:rsidP="00202C0A">
      <w:pPr>
        <w:spacing w:line="240" w:lineRule="auto"/>
        <w:ind w:left="1440" w:right="1440"/>
        <w:rPr>
          <w:rFonts w:ascii="Times New Roman" w:hAnsi="Times New Roman" w:cs="Times New Roman"/>
          <w:bCs/>
          <w:sz w:val="24"/>
          <w:szCs w:val="24"/>
        </w:rPr>
      </w:pPr>
      <w:r w:rsidRPr="008768A2">
        <w:rPr>
          <w:rFonts w:ascii="Times New Roman" w:hAnsi="Times New Roman" w:cs="Times New Roman"/>
          <w:bCs/>
          <w:color w:val="000000" w:themeColor="text1"/>
          <w:sz w:val="24"/>
          <w:szCs w:val="24"/>
        </w:rPr>
        <w:t>It is expected that clinical assistant professors who seek promotion to the rank of clinical associate professor will have a minimum of five years in rank at ASU</w:t>
      </w:r>
      <w:r w:rsidR="00B87F99" w:rsidRPr="008768A2">
        <w:rPr>
          <w:rFonts w:ascii="Times New Roman" w:hAnsi="Times New Roman" w:cs="Times New Roman"/>
          <w:bCs/>
          <w:color w:val="000000" w:themeColor="text1"/>
          <w:sz w:val="24"/>
          <w:szCs w:val="24"/>
        </w:rPr>
        <w:t xml:space="preserve"> before they apply</w:t>
      </w:r>
      <w:r w:rsidRPr="008768A2">
        <w:rPr>
          <w:rFonts w:ascii="Times New Roman" w:hAnsi="Times New Roman" w:cs="Times New Roman"/>
          <w:bCs/>
          <w:color w:val="000000" w:themeColor="text1"/>
          <w:sz w:val="24"/>
          <w:szCs w:val="24"/>
        </w:rPr>
        <w:t xml:space="preserve">. A case for promotion should demonstrate how the candidate has significantly and substantially enhanced the teaching </w:t>
      </w:r>
      <w:r w:rsidR="00B0480F" w:rsidRPr="008768A2">
        <w:rPr>
          <w:rFonts w:ascii="Times New Roman" w:hAnsi="Times New Roman" w:cs="Times New Roman"/>
          <w:bCs/>
          <w:color w:val="000000" w:themeColor="text1"/>
          <w:sz w:val="24"/>
          <w:szCs w:val="24"/>
        </w:rPr>
        <w:t xml:space="preserve">and service missions </w:t>
      </w:r>
      <w:r w:rsidRPr="008768A2">
        <w:rPr>
          <w:rFonts w:ascii="Times New Roman" w:hAnsi="Times New Roman" w:cs="Times New Roman"/>
          <w:bCs/>
          <w:color w:val="000000" w:themeColor="text1"/>
          <w:sz w:val="24"/>
          <w:szCs w:val="24"/>
        </w:rPr>
        <w:t xml:space="preserve">of MLFTC. Candidates should also provide explicit evidence of how their work aligns with </w:t>
      </w:r>
      <w:r w:rsidRPr="008768A2">
        <w:rPr>
          <w:rFonts w:ascii="Times New Roman" w:hAnsi="Times New Roman" w:cs="Times New Roman"/>
          <w:color w:val="000000" w:themeColor="text1"/>
          <w:sz w:val="24"/>
          <w:szCs w:val="24"/>
        </w:rPr>
        <w:t xml:space="preserve">the </w:t>
      </w:r>
      <w:hyperlink r:id="rId70" w:anchor=":~:text=ASU%20is%20a%20comprehensive%20public,of%20the%20communities%20it%20serves" w:history="1">
        <w:r w:rsidRPr="00646C37">
          <w:rPr>
            <w:rStyle w:val="Hyperlink"/>
            <w:rFonts w:ascii="Times New Roman" w:hAnsi="Times New Roman" w:cs="Times New Roman"/>
            <w:sz w:val="24"/>
            <w:szCs w:val="24"/>
          </w:rPr>
          <w:t>ASU Charter</w:t>
        </w:r>
      </w:hyperlink>
      <w:r w:rsidRPr="00646C37">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and </w:t>
      </w:r>
      <w:hyperlink r:id="rId71" w:history="1">
        <w:r w:rsidRPr="00646C37">
          <w:rPr>
            <w:rStyle w:val="Hyperlink"/>
            <w:rFonts w:ascii="Times New Roman" w:hAnsi="Times New Roman" w:cs="Times New Roman"/>
            <w:sz w:val="24"/>
            <w:szCs w:val="24"/>
          </w:rPr>
          <w:t>ASU’s Design Aspirations</w:t>
        </w:r>
      </w:hyperlink>
      <w:r w:rsidRPr="00646C37">
        <w:rPr>
          <w:rFonts w:ascii="Times New Roman" w:hAnsi="Times New Roman" w:cs="Times New Roman"/>
          <w:sz w:val="24"/>
          <w:szCs w:val="24"/>
        </w:rPr>
        <w:t>.</w:t>
      </w:r>
    </w:p>
    <w:p w14:paraId="6AE0C405" w14:textId="77777777" w:rsidR="00646C37" w:rsidRPr="00646C37" w:rsidRDefault="00646C37" w:rsidP="00202C0A">
      <w:pPr>
        <w:spacing w:line="240" w:lineRule="auto"/>
        <w:ind w:left="1440" w:right="1440"/>
        <w:rPr>
          <w:rFonts w:ascii="Times New Roman" w:hAnsi="Times New Roman" w:cs="Times New Roman"/>
          <w:bCs/>
          <w:sz w:val="24"/>
          <w:szCs w:val="24"/>
        </w:rPr>
      </w:pPr>
    </w:p>
    <w:p w14:paraId="10F3B2FB" w14:textId="64D53717" w:rsidR="00646C37" w:rsidRPr="008768A2" w:rsidRDefault="00646C37" w:rsidP="00202C0A">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color w:val="000000" w:themeColor="text1"/>
          <w:sz w:val="24"/>
          <w:szCs w:val="24"/>
        </w:rPr>
        <w:t xml:space="preserve">A candidate for promotion from clinical assistant to clinical associate professor should have or demonstrate: </w:t>
      </w:r>
    </w:p>
    <w:p w14:paraId="7025FB7B" w14:textId="030FE7C8" w:rsidR="00646C37" w:rsidRPr="008768A2" w:rsidRDefault="0068377C">
      <w:pPr>
        <w:numPr>
          <w:ilvl w:val="0"/>
          <w:numId w:val="16"/>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No less than a master’s degree</w:t>
      </w:r>
      <w:r w:rsidR="00646C37" w:rsidRPr="008768A2">
        <w:rPr>
          <w:rFonts w:ascii="Times New Roman" w:hAnsi="Times New Roman" w:cs="Times New Roman"/>
          <w:color w:val="000000" w:themeColor="text1"/>
          <w:sz w:val="24"/>
          <w:szCs w:val="24"/>
        </w:rPr>
        <w:t xml:space="preserve"> in education or a related field appropriate to the position</w:t>
      </w:r>
      <w:r w:rsidR="00556775" w:rsidRPr="008768A2">
        <w:rPr>
          <w:rFonts w:ascii="Times New Roman" w:hAnsi="Times New Roman" w:cs="Times New Roman"/>
          <w:color w:val="000000" w:themeColor="text1"/>
          <w:sz w:val="24"/>
          <w:szCs w:val="24"/>
        </w:rPr>
        <w:t>.</w:t>
      </w:r>
    </w:p>
    <w:p w14:paraId="52EB0E37" w14:textId="1AD2080D" w:rsidR="00A153D7" w:rsidRPr="008768A2" w:rsidRDefault="00646C37" w:rsidP="009B6677">
      <w:pPr>
        <w:numPr>
          <w:ilvl w:val="0"/>
          <w:numId w:val="16"/>
        </w:numPr>
        <w:tabs>
          <w:tab w:val="num" w:pos="720"/>
        </w:tabs>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At least five years of university-level teaching experience at the rank of clinical assistant professor</w:t>
      </w:r>
      <w:r w:rsidR="00A153D7" w:rsidRPr="008768A2">
        <w:rPr>
          <w:rFonts w:ascii="Times New Roman" w:hAnsi="Times New Roman" w:cs="Times New Roman"/>
          <w:color w:val="000000" w:themeColor="text1"/>
          <w:sz w:val="24"/>
          <w:szCs w:val="24"/>
        </w:rPr>
        <w:t>.</w:t>
      </w:r>
      <w:r w:rsidR="006611E3" w:rsidRPr="008768A2">
        <w:rPr>
          <w:rFonts w:ascii="Times New Roman" w:hAnsi="Times New Roman" w:cs="Times New Roman"/>
          <w:i/>
          <w:iCs/>
          <w:color w:val="000000" w:themeColor="text1"/>
          <w:sz w:val="24"/>
          <w:szCs w:val="24"/>
        </w:rPr>
        <w:t xml:space="preserve"> </w:t>
      </w:r>
      <w:r w:rsidR="00A153D7" w:rsidRPr="008768A2">
        <w:rPr>
          <w:rFonts w:ascii="Times New Roman" w:hAnsi="Times New Roman" w:cs="Times New Roman"/>
          <w:color w:val="000000" w:themeColor="text1"/>
          <w:sz w:val="24"/>
          <w:szCs w:val="24"/>
        </w:rPr>
        <w:t xml:space="preserve">In </w:t>
      </w:r>
      <w:r w:rsidR="00693D6F" w:rsidRPr="008768A2">
        <w:rPr>
          <w:rFonts w:ascii="Times New Roman" w:hAnsi="Times New Roman" w:cs="Times New Roman"/>
          <w:color w:val="000000" w:themeColor="text1"/>
          <w:sz w:val="24"/>
          <w:szCs w:val="24"/>
        </w:rPr>
        <w:t>a unique situation,</w:t>
      </w:r>
      <w:r w:rsidR="00A153D7" w:rsidRPr="008768A2">
        <w:rPr>
          <w:rFonts w:ascii="Times New Roman" w:hAnsi="Times New Roman" w:cs="Times New Roman"/>
          <w:color w:val="000000" w:themeColor="text1"/>
          <w:sz w:val="24"/>
          <w:szCs w:val="24"/>
        </w:rPr>
        <w:t xml:space="preserve"> where a candidate and their vice dean believe there is compelling evidence to warrant promotion from clinical assistant to clinical associate professor in </w:t>
      </w:r>
      <w:r w:rsidR="00693D6F" w:rsidRPr="008768A2">
        <w:rPr>
          <w:rFonts w:ascii="Times New Roman" w:hAnsi="Times New Roman" w:cs="Times New Roman"/>
          <w:color w:val="000000" w:themeColor="text1"/>
          <w:sz w:val="24"/>
          <w:szCs w:val="24"/>
        </w:rPr>
        <w:t>x</w:t>
      </w:r>
      <w:r w:rsidR="00A153D7" w:rsidRPr="008768A2">
        <w:rPr>
          <w:rFonts w:ascii="Times New Roman" w:hAnsi="Times New Roman" w:cs="Times New Roman"/>
          <w:color w:val="000000" w:themeColor="text1"/>
          <w:sz w:val="24"/>
          <w:szCs w:val="24"/>
        </w:rPr>
        <w:t xml:space="preserve"> calendar years, the ASU provost may consider such a request. This evidence must demonstrate prior experiences equivalent to five years of exceptional teaching and service at the assistant clinical professor rank. If such a case is presented, it </w:t>
      </w:r>
      <w:r w:rsidR="00A153D7" w:rsidRPr="008768A2">
        <w:rPr>
          <w:rFonts w:ascii="Times New Roman" w:hAnsi="Times New Roman" w:cs="Times New Roman"/>
          <w:color w:val="000000" w:themeColor="text1"/>
          <w:sz w:val="24"/>
          <w:szCs w:val="24"/>
        </w:rPr>
        <w:lastRenderedPageBreak/>
        <w:t>must be clearly articulated to all participants in the review process, including internal reviewers and the CT PEC, before reviewing the candidate’s dossier for promotion.</w:t>
      </w:r>
    </w:p>
    <w:p w14:paraId="5C547B13" w14:textId="2823528F" w:rsidR="00646C37" w:rsidRPr="008768A2" w:rsidRDefault="00646C37" w:rsidP="009B6677">
      <w:pPr>
        <w:numPr>
          <w:ilvl w:val="0"/>
          <w:numId w:val="16"/>
        </w:numPr>
        <w:tabs>
          <w:tab w:val="num" w:pos="720"/>
        </w:tabs>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 record of excellence in teaching and clinical supervision</w:t>
      </w:r>
      <w:r w:rsidR="009060F5" w:rsidRPr="008768A2">
        <w:rPr>
          <w:rFonts w:ascii="Times New Roman" w:hAnsi="Times New Roman" w:cs="Times New Roman"/>
          <w:color w:val="000000" w:themeColor="text1"/>
          <w:sz w:val="24"/>
          <w:szCs w:val="24"/>
        </w:rPr>
        <w:t xml:space="preserve"> (if applicable)</w:t>
      </w:r>
      <w:r w:rsidRPr="008768A2">
        <w:rPr>
          <w:rFonts w:ascii="Times New Roman" w:hAnsi="Times New Roman" w:cs="Times New Roman"/>
          <w:color w:val="000000" w:themeColor="text1"/>
          <w:sz w:val="24"/>
          <w:szCs w:val="24"/>
        </w:rPr>
        <w:t>, as reflected in annual reviews of teaching, student evaluations above the program norm, peer reviews of teaching</w:t>
      </w:r>
      <w:r w:rsidR="009060F5" w:rsidRPr="008768A2">
        <w:rPr>
          <w:rFonts w:ascii="Times New Roman" w:hAnsi="Times New Roman" w:cs="Times New Roman"/>
          <w:color w:val="000000" w:themeColor="text1"/>
          <w:sz w:val="24"/>
          <w:szCs w:val="24"/>
        </w:rPr>
        <w:t xml:space="preserve"> (as available), and other indicators of teaching excellence</w:t>
      </w:r>
      <w:r w:rsidR="00202C0A" w:rsidRPr="008768A2">
        <w:rPr>
          <w:rFonts w:ascii="Times New Roman" w:hAnsi="Times New Roman" w:cs="Times New Roman"/>
          <w:color w:val="000000" w:themeColor="text1"/>
          <w:sz w:val="24"/>
          <w:szCs w:val="24"/>
        </w:rPr>
        <w:t xml:space="preserve"> (see also SoA 2.2.2)</w:t>
      </w:r>
      <w:r w:rsidR="00556775" w:rsidRPr="008768A2">
        <w:rPr>
          <w:rFonts w:ascii="Times New Roman" w:hAnsi="Times New Roman" w:cs="Times New Roman"/>
          <w:color w:val="000000" w:themeColor="text1"/>
          <w:sz w:val="24"/>
          <w:szCs w:val="24"/>
        </w:rPr>
        <w:t>.</w:t>
      </w:r>
      <w:r w:rsidR="0068377C" w:rsidRPr="008768A2">
        <w:rPr>
          <w:rFonts w:ascii="Times New Roman" w:hAnsi="Times New Roman" w:cs="Times New Roman"/>
          <w:color w:val="000000" w:themeColor="text1"/>
          <w:sz w:val="24"/>
          <w:szCs w:val="24"/>
        </w:rPr>
        <w:t xml:space="preserve"> Also valued is e</w:t>
      </w:r>
      <w:r w:rsidRPr="008768A2">
        <w:rPr>
          <w:rFonts w:ascii="Times New Roman" w:hAnsi="Times New Roman" w:cs="Times New Roman"/>
          <w:color w:val="000000" w:themeColor="text1"/>
          <w:sz w:val="24"/>
          <w:szCs w:val="24"/>
        </w:rPr>
        <w:t>vidence of leadership in teaching through activities such as revision and/or development of a curriculum in the candidate's area of specialization, innovations in pedagogical approaches or clinical experiences, mentorship of other faculty, course coordination, and regional/state dissemination of educational materials or action research</w:t>
      </w:r>
      <w:r w:rsidR="00202C0A" w:rsidRPr="008768A2">
        <w:rPr>
          <w:rFonts w:ascii="Times New Roman" w:hAnsi="Times New Roman" w:cs="Times New Roman"/>
          <w:color w:val="000000" w:themeColor="text1"/>
          <w:sz w:val="24"/>
          <w:szCs w:val="24"/>
        </w:rPr>
        <w:t xml:space="preserve"> (see also SoA 2.2.2.2)</w:t>
      </w:r>
      <w:r w:rsidR="00556775" w:rsidRPr="008768A2">
        <w:rPr>
          <w:rFonts w:ascii="Times New Roman" w:hAnsi="Times New Roman" w:cs="Times New Roman"/>
          <w:color w:val="000000" w:themeColor="text1"/>
          <w:sz w:val="24"/>
          <w:szCs w:val="24"/>
        </w:rPr>
        <w:t>.</w:t>
      </w:r>
      <w:r w:rsidR="005C08CA" w:rsidRPr="008768A2">
        <w:rPr>
          <w:rFonts w:ascii="Times New Roman" w:hAnsi="Times New Roman" w:cs="Times New Roman"/>
          <w:color w:val="000000" w:themeColor="text1"/>
          <w:sz w:val="24"/>
          <w:szCs w:val="24"/>
        </w:rPr>
        <w:t xml:space="preserve"> Candidates whose positions do not involve substantial teaching assignments should demonstrate excellence in leadership in teaching.</w:t>
      </w:r>
    </w:p>
    <w:p w14:paraId="6A719965" w14:textId="40FC5060" w:rsidR="00646C37" w:rsidRPr="008768A2" w:rsidRDefault="00646C37" w:rsidP="00413B90">
      <w:pPr>
        <w:numPr>
          <w:ilvl w:val="0"/>
          <w:numId w:val="16"/>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 record of involvement in service to the division and college through participation in college standing committees, search committees, university-level committees or initiatives, and similar activities, with evidence of impact and high-quality outcomes</w:t>
      </w:r>
      <w:r w:rsidR="00202C0A" w:rsidRPr="008768A2">
        <w:rPr>
          <w:rFonts w:ascii="Times New Roman" w:hAnsi="Times New Roman" w:cs="Times New Roman"/>
          <w:color w:val="000000" w:themeColor="text1"/>
          <w:sz w:val="24"/>
          <w:szCs w:val="24"/>
        </w:rPr>
        <w:t xml:space="preserve"> (see also SoA 2.2.3)</w:t>
      </w:r>
      <w:r w:rsidR="00556775" w:rsidRPr="008768A2">
        <w:rPr>
          <w:rFonts w:ascii="Times New Roman" w:hAnsi="Times New Roman" w:cs="Times New Roman"/>
          <w:color w:val="000000" w:themeColor="text1"/>
          <w:sz w:val="24"/>
          <w:szCs w:val="24"/>
        </w:rPr>
        <w:t>.</w:t>
      </w:r>
      <w:r w:rsidR="0068377C" w:rsidRPr="008768A2">
        <w:rPr>
          <w:rFonts w:ascii="Times New Roman" w:hAnsi="Times New Roman" w:cs="Times New Roman"/>
          <w:color w:val="000000" w:themeColor="text1"/>
          <w:sz w:val="24"/>
          <w:szCs w:val="24"/>
        </w:rPr>
        <w:t xml:space="preserve"> Also valued is a</w:t>
      </w:r>
      <w:r w:rsidRPr="008768A2">
        <w:rPr>
          <w:rFonts w:ascii="Times New Roman" w:hAnsi="Times New Roman" w:cs="Times New Roman"/>
          <w:color w:val="000000" w:themeColor="text1"/>
          <w:sz w:val="24"/>
          <w:szCs w:val="24"/>
        </w:rPr>
        <w:t xml:space="preserve"> record of involvement in service to the profession and/or community. </w:t>
      </w:r>
      <w:r w:rsidR="0068377C" w:rsidRPr="008768A2">
        <w:rPr>
          <w:rFonts w:ascii="Times New Roman" w:hAnsi="Times New Roman" w:cs="Times New Roman"/>
          <w:color w:val="000000" w:themeColor="text1"/>
          <w:sz w:val="24"/>
          <w:szCs w:val="24"/>
        </w:rPr>
        <w:t xml:space="preserve">This type of </w:t>
      </w:r>
      <w:r w:rsidRPr="008768A2">
        <w:rPr>
          <w:rFonts w:ascii="Times New Roman" w:hAnsi="Times New Roman" w:cs="Times New Roman"/>
          <w:color w:val="000000" w:themeColor="text1"/>
          <w:sz w:val="24"/>
          <w:szCs w:val="24"/>
        </w:rPr>
        <w:t xml:space="preserve">service may include activities such as regional/state leadership in professional societies/associations, organizing professional development activities </w:t>
      </w:r>
      <w:r w:rsidR="009060F5" w:rsidRPr="008768A2">
        <w:rPr>
          <w:rFonts w:ascii="Times New Roman" w:hAnsi="Times New Roman" w:cs="Times New Roman"/>
          <w:color w:val="000000" w:themeColor="text1"/>
          <w:sz w:val="24"/>
          <w:szCs w:val="24"/>
        </w:rPr>
        <w:t xml:space="preserve">or presentations </w:t>
      </w:r>
      <w:r w:rsidRPr="008768A2">
        <w:rPr>
          <w:rFonts w:ascii="Times New Roman" w:hAnsi="Times New Roman" w:cs="Times New Roman"/>
          <w:color w:val="000000" w:themeColor="text1"/>
          <w:sz w:val="24"/>
          <w:szCs w:val="24"/>
        </w:rPr>
        <w:t>for university, school</w:t>
      </w:r>
      <w:r w:rsidR="00963F17"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or community educators, and/or membership on a local/state conference program committee. </w:t>
      </w:r>
      <w:r w:rsidR="0068377C" w:rsidRPr="008768A2">
        <w:rPr>
          <w:rFonts w:ascii="Times New Roman" w:hAnsi="Times New Roman" w:cs="Times New Roman"/>
          <w:color w:val="000000" w:themeColor="text1"/>
          <w:sz w:val="24"/>
          <w:szCs w:val="24"/>
        </w:rPr>
        <w:t>This type of s</w:t>
      </w:r>
      <w:r w:rsidRPr="008768A2">
        <w:rPr>
          <w:rFonts w:ascii="Times New Roman" w:hAnsi="Times New Roman" w:cs="Times New Roman"/>
          <w:color w:val="000000" w:themeColor="text1"/>
          <w:sz w:val="24"/>
          <w:szCs w:val="24"/>
        </w:rPr>
        <w:t>ervice may also include community activities that draw upon professional expertise or subject knowledge and/or advance the university by meeting the needs of the greater public</w:t>
      </w:r>
      <w:r w:rsidR="00202C0A" w:rsidRPr="008768A2">
        <w:rPr>
          <w:rFonts w:ascii="Times New Roman" w:hAnsi="Times New Roman" w:cs="Times New Roman"/>
          <w:color w:val="000000" w:themeColor="text1"/>
          <w:sz w:val="24"/>
          <w:szCs w:val="24"/>
        </w:rPr>
        <w:t xml:space="preserve"> (see also SoA 2.2.3)</w:t>
      </w:r>
      <w:r w:rsidR="00556775" w:rsidRPr="008768A2">
        <w:rPr>
          <w:rFonts w:ascii="Times New Roman" w:hAnsi="Times New Roman" w:cs="Times New Roman"/>
          <w:color w:val="000000" w:themeColor="text1"/>
          <w:sz w:val="24"/>
          <w:szCs w:val="24"/>
        </w:rPr>
        <w:t>.</w:t>
      </w:r>
    </w:p>
    <w:p w14:paraId="2316A5EA"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36E7BCE7" w14:textId="3608C503" w:rsidR="00646C37" w:rsidRPr="008768A2" w:rsidRDefault="00202C0A" w:rsidP="00202C0A">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b/>
          <w:bCs/>
          <w:color w:val="000000" w:themeColor="text1"/>
          <w:sz w:val="24"/>
          <w:szCs w:val="24"/>
        </w:rPr>
        <w:t>5.1.1.</w:t>
      </w:r>
      <w:r w:rsidR="007F32C2" w:rsidRPr="008768A2">
        <w:rPr>
          <w:rFonts w:ascii="Times New Roman" w:hAnsi="Times New Roman" w:cs="Times New Roman"/>
          <w:b/>
          <w:bCs/>
          <w:color w:val="000000" w:themeColor="text1"/>
          <w:sz w:val="24"/>
          <w:szCs w:val="24"/>
        </w:rPr>
        <w:t>2</w:t>
      </w:r>
      <w:r w:rsidRPr="008768A2">
        <w:rPr>
          <w:rFonts w:ascii="Times New Roman" w:hAnsi="Times New Roman" w:cs="Times New Roman"/>
          <w:b/>
          <w:bCs/>
          <w:color w:val="000000" w:themeColor="text1"/>
          <w:sz w:val="24"/>
          <w:szCs w:val="24"/>
        </w:rPr>
        <w:t xml:space="preserve"> </w:t>
      </w:r>
      <w:r w:rsidR="00646C37" w:rsidRPr="008768A2">
        <w:rPr>
          <w:rFonts w:ascii="Times New Roman" w:hAnsi="Times New Roman" w:cs="Times New Roman"/>
          <w:b/>
          <w:color w:val="000000" w:themeColor="text1"/>
          <w:sz w:val="24"/>
          <w:szCs w:val="24"/>
        </w:rPr>
        <w:t>Criteria for Promotion to the Academic Rank of Clinical Full Professor</w:t>
      </w:r>
    </w:p>
    <w:p w14:paraId="7346BAEA"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7B7D8A68" w14:textId="6A5CB51B" w:rsidR="00646C37"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The term "full" is not usually stated but is used to designate the highest rank of a clinical faculty title. For promotion to the highest rank of clinical full professor</w:t>
      </w:r>
      <w:r w:rsidR="00556775" w:rsidRPr="008768A2">
        <w:rPr>
          <w:rFonts w:ascii="Times New Roman" w:hAnsi="Times New Roman" w:cs="Times New Roman"/>
          <w:color w:val="000000" w:themeColor="text1"/>
          <w:sz w:val="24"/>
          <w:szCs w:val="24"/>
        </w:rPr>
        <w:t xml:space="preserve"> (i.e., clinical professor)</w:t>
      </w:r>
      <w:r w:rsidRPr="008768A2">
        <w:rPr>
          <w:rFonts w:ascii="Times New Roman" w:hAnsi="Times New Roman" w:cs="Times New Roman"/>
          <w:color w:val="000000" w:themeColor="text1"/>
          <w:sz w:val="24"/>
          <w:szCs w:val="24"/>
        </w:rPr>
        <w:t>, candidates must demonstrate a substantial and sustained record of excellent performance in teaching and clinical supervision</w:t>
      </w:r>
      <w:r w:rsidR="009060F5" w:rsidRPr="008768A2">
        <w:rPr>
          <w:rFonts w:ascii="Times New Roman" w:hAnsi="Times New Roman" w:cs="Times New Roman"/>
          <w:color w:val="000000" w:themeColor="text1"/>
          <w:sz w:val="24"/>
          <w:szCs w:val="24"/>
        </w:rPr>
        <w:t xml:space="preserve"> (if applicable)</w:t>
      </w:r>
      <w:r w:rsidRPr="008768A2">
        <w:rPr>
          <w:rFonts w:ascii="Times New Roman" w:hAnsi="Times New Roman" w:cs="Times New Roman"/>
          <w:color w:val="000000" w:themeColor="text1"/>
          <w:sz w:val="24"/>
          <w:szCs w:val="24"/>
        </w:rPr>
        <w:t>, as well as continued growth and involvement in professional, institutional, or community service since the last promotion. Faculty at the level of clinical professor are also expected to take on greater responsibility for institutional leadership in teaching and mentorship,</w:t>
      </w:r>
      <w:r w:rsidR="00417A4D" w:rsidRPr="008768A2">
        <w:rPr>
          <w:rFonts w:ascii="Times New Roman" w:hAnsi="Times New Roman" w:cs="Times New Roman"/>
          <w:color w:val="000000" w:themeColor="text1"/>
          <w:sz w:val="24"/>
          <w:szCs w:val="24"/>
        </w:rPr>
        <w:t xml:space="preserve"> as well as service,</w:t>
      </w:r>
      <w:r w:rsidRPr="008768A2">
        <w:rPr>
          <w:rFonts w:ascii="Times New Roman" w:hAnsi="Times New Roman" w:cs="Times New Roman"/>
          <w:color w:val="000000" w:themeColor="text1"/>
          <w:sz w:val="24"/>
          <w:szCs w:val="24"/>
        </w:rPr>
        <w:t xml:space="preserve"> as per MLFTC’s SoAs</w:t>
      </w:r>
      <w:r w:rsidR="00202C0A" w:rsidRPr="008768A2">
        <w:rPr>
          <w:rFonts w:ascii="Times New Roman" w:hAnsi="Times New Roman" w:cs="Times New Roman"/>
          <w:color w:val="000000" w:themeColor="text1"/>
          <w:sz w:val="24"/>
          <w:szCs w:val="24"/>
        </w:rPr>
        <w:t xml:space="preserve"> (see </w:t>
      </w:r>
      <w:r w:rsidR="00417A4D" w:rsidRPr="008768A2">
        <w:rPr>
          <w:rFonts w:ascii="Times New Roman" w:hAnsi="Times New Roman" w:cs="Times New Roman"/>
          <w:color w:val="000000" w:themeColor="text1"/>
          <w:sz w:val="24"/>
          <w:szCs w:val="24"/>
        </w:rPr>
        <w:t xml:space="preserve">also </w:t>
      </w:r>
      <w:r w:rsidR="00202C0A" w:rsidRPr="008768A2">
        <w:rPr>
          <w:rFonts w:ascii="Times New Roman" w:hAnsi="Times New Roman" w:cs="Times New Roman"/>
          <w:color w:val="000000" w:themeColor="text1"/>
          <w:sz w:val="24"/>
          <w:szCs w:val="24"/>
        </w:rPr>
        <w:t>SoA 2.2.2.2</w:t>
      </w:r>
      <w:r w:rsidR="00417A4D" w:rsidRPr="008768A2">
        <w:rPr>
          <w:rFonts w:ascii="Times New Roman" w:hAnsi="Times New Roman" w:cs="Times New Roman"/>
          <w:color w:val="000000" w:themeColor="text1"/>
          <w:sz w:val="24"/>
          <w:szCs w:val="24"/>
        </w:rPr>
        <w:t xml:space="preserve"> and SoA 2.2.3.2</w:t>
      </w:r>
      <w:r w:rsidR="00202C0A" w:rsidRPr="008768A2">
        <w:rPr>
          <w:rFonts w:ascii="Times New Roman" w:hAnsi="Times New Roman" w:cs="Times New Roman"/>
          <w:color w:val="000000" w:themeColor="text1"/>
          <w:sz w:val="24"/>
          <w:szCs w:val="24"/>
        </w:rPr>
        <w:t>).</w:t>
      </w:r>
    </w:p>
    <w:p w14:paraId="1A33AB19"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4B37A68A" w14:textId="382F57C7" w:rsidR="00646C37" w:rsidRPr="008768A2" w:rsidRDefault="00693D6F"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Generally</w:t>
      </w:r>
      <w:r w:rsidR="00646C37" w:rsidRPr="008768A2">
        <w:rPr>
          <w:rFonts w:ascii="Times New Roman" w:hAnsi="Times New Roman" w:cs="Times New Roman"/>
          <w:color w:val="000000" w:themeColor="text1"/>
          <w:sz w:val="24"/>
          <w:szCs w:val="24"/>
        </w:rPr>
        <w:t xml:space="preserve">, candidates for clinical professor will have been at the rank of clinical associate professor for a minimum of three years. However, the request for promotion is based not on time in rank or years of service but rather </w:t>
      </w:r>
      <w:r w:rsidR="00844528" w:rsidRPr="008768A2">
        <w:rPr>
          <w:rFonts w:ascii="Times New Roman" w:hAnsi="Times New Roman" w:cs="Times New Roman"/>
          <w:color w:val="000000" w:themeColor="text1"/>
          <w:sz w:val="24"/>
          <w:szCs w:val="24"/>
        </w:rPr>
        <w:t xml:space="preserve">on </w:t>
      </w:r>
      <w:r w:rsidR="00646C37" w:rsidRPr="008768A2">
        <w:rPr>
          <w:rFonts w:ascii="Times New Roman" w:hAnsi="Times New Roman" w:cs="Times New Roman"/>
          <w:color w:val="000000" w:themeColor="text1"/>
          <w:sz w:val="24"/>
          <w:szCs w:val="24"/>
        </w:rPr>
        <w:t xml:space="preserve">exceptional accomplishment. In the promotion process, faculty are required to clearly articulate and make visible how their work, and relevant indicators of success, demonstrate evidence of excellence and impact across a coherent and integrated record of achievements. </w:t>
      </w:r>
    </w:p>
    <w:p w14:paraId="30FCC869"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004F842C" w14:textId="49F3924B" w:rsidR="00646C37" w:rsidRPr="008768A2" w:rsidRDefault="00646C37" w:rsidP="00202C0A">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color w:val="000000" w:themeColor="text1"/>
          <w:sz w:val="24"/>
          <w:szCs w:val="24"/>
        </w:rPr>
        <w:t>A candidate for promotion from clinical associate to clinical professor should have or demonstrate:</w:t>
      </w:r>
    </w:p>
    <w:p w14:paraId="058E3CC4" w14:textId="2DE3C495" w:rsidR="00646C37" w:rsidRPr="008768A2" w:rsidRDefault="00646C37">
      <w:pPr>
        <w:numPr>
          <w:ilvl w:val="0"/>
          <w:numId w:val="17"/>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 terminal degree (e.g., Ph.D., Ed.D.) in education or a related field appropriate to the position</w:t>
      </w:r>
      <w:r w:rsidR="00556775" w:rsidRPr="008768A2">
        <w:rPr>
          <w:rFonts w:ascii="Times New Roman" w:hAnsi="Times New Roman" w:cs="Times New Roman"/>
          <w:color w:val="000000" w:themeColor="text1"/>
          <w:sz w:val="24"/>
          <w:szCs w:val="24"/>
        </w:rPr>
        <w:t>.</w:t>
      </w:r>
    </w:p>
    <w:p w14:paraId="3CBDE832" w14:textId="2C7F621D" w:rsidR="00646C37" w:rsidRPr="008768A2" w:rsidRDefault="00646C37">
      <w:pPr>
        <w:numPr>
          <w:ilvl w:val="0"/>
          <w:numId w:val="17"/>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lastRenderedPageBreak/>
        <w:t>At least three years of university-level teaching experience at the rank of clinical associate professor</w:t>
      </w:r>
      <w:r w:rsidR="00556775" w:rsidRPr="008768A2">
        <w:rPr>
          <w:rFonts w:ascii="Times New Roman" w:hAnsi="Times New Roman" w:cs="Times New Roman"/>
          <w:color w:val="000000" w:themeColor="text1"/>
          <w:sz w:val="24"/>
          <w:szCs w:val="24"/>
        </w:rPr>
        <w:t>.</w:t>
      </w:r>
    </w:p>
    <w:p w14:paraId="5C81A8D4" w14:textId="7344ABCA" w:rsidR="00646C37" w:rsidRPr="008768A2" w:rsidRDefault="00646C37">
      <w:pPr>
        <w:numPr>
          <w:ilvl w:val="0"/>
          <w:numId w:val="17"/>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Evidence of sustained and increased leadership in teaching through substantive roles in activities that enhance curricula, clinical experiences, faculty mentorship, program coordination, and state/national dissemination of educational materials or action research</w:t>
      </w:r>
      <w:r w:rsidR="00202C0A" w:rsidRPr="008768A2">
        <w:rPr>
          <w:rFonts w:ascii="Times New Roman" w:hAnsi="Times New Roman" w:cs="Times New Roman"/>
          <w:color w:val="000000" w:themeColor="text1"/>
          <w:sz w:val="24"/>
          <w:szCs w:val="24"/>
        </w:rPr>
        <w:t xml:space="preserve"> (see also SoA 2.2.2.2)</w:t>
      </w:r>
      <w:r w:rsidR="00556775" w:rsidRPr="008768A2">
        <w:rPr>
          <w:rFonts w:ascii="Times New Roman" w:hAnsi="Times New Roman" w:cs="Times New Roman"/>
          <w:color w:val="000000" w:themeColor="text1"/>
          <w:sz w:val="24"/>
          <w:szCs w:val="24"/>
        </w:rPr>
        <w:t>.</w:t>
      </w:r>
    </w:p>
    <w:p w14:paraId="5043C7D8" w14:textId="1ECED23A" w:rsidR="00646C37" w:rsidRPr="008768A2" w:rsidRDefault="00646C37" w:rsidP="00413B90">
      <w:pPr>
        <w:numPr>
          <w:ilvl w:val="0"/>
          <w:numId w:val="17"/>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 record of sustained involvement in service to the division and college through participation in college standing committees, search committees, university-level committees or initiatives, and similar activities, with evidence of impact and high-quality outcomes</w:t>
      </w:r>
      <w:r w:rsidR="00417A4D" w:rsidRPr="008768A2">
        <w:rPr>
          <w:rFonts w:ascii="Times New Roman" w:hAnsi="Times New Roman" w:cs="Times New Roman"/>
          <w:color w:val="000000" w:themeColor="text1"/>
          <w:sz w:val="24"/>
          <w:szCs w:val="24"/>
        </w:rPr>
        <w:t xml:space="preserve"> see also SoA 2.2.3)</w:t>
      </w:r>
      <w:r w:rsidRPr="008768A2">
        <w:rPr>
          <w:rFonts w:ascii="Times New Roman" w:hAnsi="Times New Roman" w:cs="Times New Roman"/>
          <w:color w:val="000000" w:themeColor="text1"/>
          <w:sz w:val="24"/>
          <w:szCs w:val="24"/>
        </w:rPr>
        <w:t>. The faculty member should show evidence of leadership in service, through substantive engagement in roles such as chairing committees and assuming leadership roles in institutional initiatives</w:t>
      </w:r>
      <w:r w:rsidR="00202C0A" w:rsidRPr="008768A2">
        <w:rPr>
          <w:rFonts w:ascii="Times New Roman" w:hAnsi="Times New Roman" w:cs="Times New Roman"/>
          <w:color w:val="000000" w:themeColor="text1"/>
          <w:sz w:val="24"/>
          <w:szCs w:val="24"/>
        </w:rPr>
        <w:t xml:space="preserve"> (see also SoA 2.2.3.2)</w:t>
      </w:r>
      <w:r w:rsidR="00556775" w:rsidRPr="008768A2">
        <w:rPr>
          <w:rFonts w:ascii="Times New Roman" w:hAnsi="Times New Roman" w:cs="Times New Roman"/>
          <w:color w:val="000000" w:themeColor="text1"/>
          <w:sz w:val="24"/>
          <w:szCs w:val="24"/>
        </w:rPr>
        <w:t>.</w:t>
      </w:r>
      <w:r w:rsidR="0068377C" w:rsidRPr="008768A2">
        <w:rPr>
          <w:rFonts w:ascii="Times New Roman" w:hAnsi="Times New Roman" w:cs="Times New Roman"/>
          <w:color w:val="000000" w:themeColor="text1"/>
          <w:sz w:val="24"/>
          <w:szCs w:val="24"/>
        </w:rPr>
        <w:t xml:space="preserve"> Also valued is a</w:t>
      </w:r>
      <w:r w:rsidRPr="008768A2">
        <w:rPr>
          <w:rFonts w:ascii="Times New Roman" w:hAnsi="Times New Roman" w:cs="Times New Roman"/>
          <w:color w:val="000000" w:themeColor="text1"/>
          <w:sz w:val="24"/>
          <w:szCs w:val="24"/>
        </w:rPr>
        <w:t xml:space="preserve"> record of sustained involvement in service to the profession and/or community. </w:t>
      </w:r>
      <w:r w:rsidR="0068377C" w:rsidRPr="008768A2">
        <w:rPr>
          <w:rFonts w:ascii="Times New Roman" w:hAnsi="Times New Roman" w:cs="Times New Roman"/>
          <w:color w:val="000000" w:themeColor="text1"/>
          <w:sz w:val="24"/>
          <w:szCs w:val="24"/>
        </w:rPr>
        <w:t xml:space="preserve">This type of </w:t>
      </w:r>
      <w:r w:rsidRPr="008768A2">
        <w:rPr>
          <w:rFonts w:ascii="Times New Roman" w:hAnsi="Times New Roman" w:cs="Times New Roman"/>
          <w:color w:val="000000" w:themeColor="text1"/>
          <w:sz w:val="24"/>
          <w:szCs w:val="24"/>
        </w:rPr>
        <w:t>service may include activities such as regional/state leadership in professional societies/associations, organizing professional development activities for university, school</w:t>
      </w:r>
      <w:r w:rsidR="00844528"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or community educators, and/or membership on a local/state conference program committee. </w:t>
      </w:r>
      <w:r w:rsidR="0068377C" w:rsidRPr="008768A2">
        <w:rPr>
          <w:rFonts w:ascii="Times New Roman" w:hAnsi="Times New Roman" w:cs="Times New Roman"/>
          <w:color w:val="000000" w:themeColor="text1"/>
          <w:sz w:val="24"/>
          <w:szCs w:val="24"/>
        </w:rPr>
        <w:t xml:space="preserve">This type of service </w:t>
      </w:r>
      <w:r w:rsidRPr="008768A2">
        <w:rPr>
          <w:rFonts w:ascii="Times New Roman" w:hAnsi="Times New Roman" w:cs="Times New Roman"/>
          <w:color w:val="000000" w:themeColor="text1"/>
          <w:sz w:val="24"/>
          <w:szCs w:val="24"/>
        </w:rPr>
        <w:t>may also include community activities that draw upon professional expertise or subject knowledge and/or advance the university by meeting the needs of the greater public</w:t>
      </w:r>
      <w:r w:rsidR="00417A4D" w:rsidRPr="008768A2">
        <w:rPr>
          <w:rFonts w:ascii="Times New Roman" w:hAnsi="Times New Roman" w:cs="Times New Roman"/>
          <w:color w:val="000000" w:themeColor="text1"/>
          <w:sz w:val="24"/>
          <w:szCs w:val="24"/>
        </w:rPr>
        <w:t xml:space="preserve"> see also SoA 2.2.3)</w:t>
      </w:r>
      <w:r w:rsidRPr="008768A2">
        <w:rPr>
          <w:rFonts w:ascii="Times New Roman" w:hAnsi="Times New Roman" w:cs="Times New Roman"/>
          <w:color w:val="000000" w:themeColor="text1"/>
          <w:sz w:val="24"/>
          <w:szCs w:val="24"/>
        </w:rPr>
        <w:t xml:space="preserve">. The faculty member </w:t>
      </w:r>
      <w:r w:rsidR="0068377C" w:rsidRPr="008768A2">
        <w:rPr>
          <w:rFonts w:ascii="Times New Roman" w:hAnsi="Times New Roman" w:cs="Times New Roman"/>
          <w:color w:val="000000" w:themeColor="text1"/>
          <w:sz w:val="24"/>
          <w:szCs w:val="24"/>
        </w:rPr>
        <w:t>may also</w:t>
      </w:r>
      <w:r w:rsidRPr="008768A2">
        <w:rPr>
          <w:rFonts w:ascii="Times New Roman" w:hAnsi="Times New Roman" w:cs="Times New Roman"/>
          <w:color w:val="000000" w:themeColor="text1"/>
          <w:sz w:val="24"/>
          <w:szCs w:val="24"/>
        </w:rPr>
        <w:t xml:space="preserve"> show evidence of leadership in professional/community service, through substantive engagement in roles such as chairing committees, assuming leadership roles in professional organizations, and consulting on educational policy development and other local, national, and/or international education initiatives</w:t>
      </w:r>
      <w:r w:rsidR="00417A4D" w:rsidRPr="008768A2">
        <w:rPr>
          <w:rFonts w:ascii="Times New Roman" w:hAnsi="Times New Roman" w:cs="Times New Roman"/>
          <w:color w:val="000000" w:themeColor="text1"/>
          <w:sz w:val="24"/>
          <w:szCs w:val="24"/>
        </w:rPr>
        <w:t xml:space="preserve"> (see also SoA 2.2.3.2)</w:t>
      </w:r>
      <w:r w:rsidR="00556775"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w:t>
      </w:r>
    </w:p>
    <w:p w14:paraId="4110BE52" w14:textId="77777777" w:rsidR="00A633AF" w:rsidRPr="008768A2" w:rsidRDefault="00A633AF" w:rsidP="00202C0A">
      <w:pPr>
        <w:spacing w:line="240" w:lineRule="auto"/>
        <w:ind w:left="1440" w:right="1440"/>
        <w:rPr>
          <w:rFonts w:ascii="Times New Roman" w:hAnsi="Times New Roman" w:cs="Times New Roman"/>
          <w:color w:val="000000" w:themeColor="text1"/>
          <w:sz w:val="24"/>
          <w:szCs w:val="24"/>
        </w:rPr>
      </w:pPr>
    </w:p>
    <w:p w14:paraId="3C849681" w14:textId="5A8D9D0D" w:rsidR="00646C37" w:rsidRPr="008768A2" w:rsidRDefault="007F32C2" w:rsidP="007F32C2">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b/>
          <w:color w:val="000000" w:themeColor="text1"/>
          <w:sz w:val="24"/>
          <w:szCs w:val="24"/>
        </w:rPr>
        <w:t>5.1.1.3</w:t>
      </w:r>
      <w:r w:rsidR="00066A30" w:rsidRPr="008768A2">
        <w:rPr>
          <w:rFonts w:ascii="Times New Roman" w:hAnsi="Times New Roman" w:cs="Times New Roman"/>
          <w:b/>
          <w:color w:val="000000" w:themeColor="text1"/>
          <w:sz w:val="24"/>
          <w:szCs w:val="24"/>
        </w:rPr>
        <w:t xml:space="preserve"> </w:t>
      </w:r>
      <w:r w:rsidR="00646C37" w:rsidRPr="008768A2">
        <w:rPr>
          <w:rFonts w:ascii="Times New Roman" w:hAnsi="Times New Roman" w:cs="Times New Roman"/>
          <w:b/>
          <w:color w:val="000000" w:themeColor="text1"/>
          <w:sz w:val="24"/>
          <w:szCs w:val="24"/>
        </w:rPr>
        <w:t xml:space="preserve">Promotion Process and Portfolio  </w:t>
      </w:r>
    </w:p>
    <w:p w14:paraId="54F4ED08" w14:textId="77777777" w:rsidR="00417A4D" w:rsidRPr="008768A2" w:rsidRDefault="00417A4D" w:rsidP="00417A4D">
      <w:pPr>
        <w:pStyle w:val="ListParagraph"/>
        <w:spacing w:line="240" w:lineRule="auto"/>
        <w:ind w:left="2220" w:right="1440"/>
        <w:rPr>
          <w:rFonts w:ascii="Times New Roman" w:hAnsi="Times New Roman" w:cs="Times New Roman"/>
          <w:b/>
          <w:color w:val="000000" w:themeColor="text1"/>
          <w:sz w:val="24"/>
          <w:szCs w:val="24"/>
        </w:rPr>
      </w:pPr>
    </w:p>
    <w:p w14:paraId="458EAE5A" w14:textId="26EC9476" w:rsidR="00646C37" w:rsidRPr="000C3FED" w:rsidRDefault="00646C37" w:rsidP="00202C0A">
      <w:pPr>
        <w:spacing w:line="240" w:lineRule="auto"/>
        <w:ind w:left="1440" w:right="1440"/>
        <w:rPr>
          <w:rFonts w:ascii="Times New Roman" w:hAnsi="Times New Roman" w:cs="Times New Roman"/>
          <w:color w:val="76923C" w:themeColor="accent3" w:themeShade="BF"/>
          <w:sz w:val="24"/>
          <w:szCs w:val="24"/>
        </w:rPr>
      </w:pPr>
      <w:r w:rsidRPr="008768A2">
        <w:rPr>
          <w:rFonts w:ascii="Times New Roman" w:hAnsi="Times New Roman" w:cs="Times New Roman"/>
          <w:color w:val="000000" w:themeColor="text1"/>
          <w:sz w:val="24"/>
          <w:szCs w:val="24"/>
        </w:rPr>
        <w:t>Clinical faculty considering promotion should initiate the process by speaking to their vice dean by the date specified on the</w:t>
      </w:r>
      <w:r w:rsidRPr="000C3FED">
        <w:rPr>
          <w:rFonts w:ascii="Times New Roman" w:hAnsi="Times New Roman" w:cs="Times New Roman"/>
          <w:color w:val="76923C" w:themeColor="accent3" w:themeShade="BF"/>
          <w:sz w:val="24"/>
          <w:szCs w:val="24"/>
        </w:rPr>
        <w:t xml:space="preserve"> </w:t>
      </w:r>
      <w:hyperlink r:id="rId72" w:history="1">
        <w:r w:rsidRPr="00646C37">
          <w:rPr>
            <w:rStyle w:val="Hyperlink"/>
            <w:rFonts w:ascii="Times New Roman" w:hAnsi="Times New Roman" w:cs="Times New Roman"/>
            <w:sz w:val="24"/>
            <w:szCs w:val="24"/>
          </w:rPr>
          <w:t>Schedule of Academic Personnel Actions.</w:t>
        </w:r>
      </w:hyperlink>
      <w:r w:rsidRPr="00646C37">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Prospective candidates should also familiarize themselves with the promotion process and the university’s portfolio submission requirements outlined within </w:t>
      </w:r>
      <w:r w:rsidR="000B024F" w:rsidRPr="008768A2">
        <w:rPr>
          <w:rFonts w:ascii="Times New Roman" w:hAnsi="Times New Roman" w:cs="Times New Roman"/>
          <w:color w:val="000000" w:themeColor="text1"/>
          <w:sz w:val="24"/>
          <w:szCs w:val="24"/>
        </w:rPr>
        <w:t>the</w:t>
      </w:r>
      <w:r w:rsidR="00102DC9" w:rsidRPr="008768A2">
        <w:rPr>
          <w:rFonts w:ascii="Times New Roman" w:hAnsi="Times New Roman" w:cs="Times New Roman"/>
          <w:color w:val="000000" w:themeColor="text1"/>
          <w:sz w:val="24"/>
          <w:szCs w:val="24"/>
        </w:rPr>
        <w:t xml:space="preserve"> ASU provost’s</w:t>
      </w:r>
      <w:r w:rsidR="000B024F" w:rsidRPr="000B024F">
        <w:rPr>
          <w:rFonts w:ascii="Times New Roman" w:hAnsi="Times New Roman" w:cs="Times New Roman"/>
          <w:sz w:val="24"/>
          <w:szCs w:val="24"/>
        </w:rPr>
        <w:t xml:space="preserve"> </w:t>
      </w:r>
      <w:hyperlink r:id="rId73" w:anchor="webspark-anchor-link--280" w:history="1">
        <w:r w:rsidR="000B024F" w:rsidRPr="00981095">
          <w:rPr>
            <w:rStyle w:val="Hyperlink"/>
            <w:rFonts w:ascii="Times New Roman" w:hAnsi="Times New Roman" w:cs="Times New Roman"/>
            <w:sz w:val="24"/>
            <w:szCs w:val="24"/>
          </w:rPr>
          <w:t>Personnel Processes</w:t>
        </w:r>
      </w:hyperlink>
      <w:r w:rsidR="000B024F" w:rsidRPr="000B024F">
        <w:rPr>
          <w:rFonts w:ascii="Times New Roman" w:hAnsi="Times New Roman" w:cs="Times New Roman"/>
          <w:sz w:val="24"/>
          <w:szCs w:val="24"/>
        </w:rPr>
        <w:t xml:space="preserve"> </w:t>
      </w:r>
      <w:r w:rsidR="000B024F" w:rsidRPr="008768A2">
        <w:rPr>
          <w:rFonts w:ascii="Times New Roman" w:hAnsi="Times New Roman" w:cs="Times New Roman"/>
          <w:color w:val="000000" w:themeColor="text1"/>
          <w:sz w:val="24"/>
          <w:szCs w:val="24"/>
        </w:rPr>
        <w:t>(Process Guide for Fixed Term Faculty Promotion).</w:t>
      </w:r>
    </w:p>
    <w:p w14:paraId="0DC38438" w14:textId="77777777" w:rsidR="00646C37" w:rsidRPr="000C3FED" w:rsidRDefault="00646C37" w:rsidP="00202C0A">
      <w:pPr>
        <w:spacing w:line="240" w:lineRule="auto"/>
        <w:ind w:left="1440" w:right="1440"/>
        <w:rPr>
          <w:rFonts w:ascii="Times New Roman" w:hAnsi="Times New Roman" w:cs="Times New Roman"/>
          <w:color w:val="76923C" w:themeColor="accent3" w:themeShade="BF"/>
          <w:sz w:val="24"/>
          <w:szCs w:val="24"/>
        </w:rPr>
      </w:pPr>
    </w:p>
    <w:p w14:paraId="19A32B85" w14:textId="77777777" w:rsidR="0098279E"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portfolio must include electronic copies (PDF) of all materials specified by </w:t>
      </w:r>
      <w:r w:rsidR="000B024F" w:rsidRPr="008768A2">
        <w:rPr>
          <w:rFonts w:ascii="Times New Roman" w:hAnsi="Times New Roman" w:cs="Times New Roman"/>
          <w:color w:val="000000" w:themeColor="text1"/>
        </w:rPr>
        <w:t>ASU’s</w:t>
      </w:r>
      <w:r w:rsidR="000B024F" w:rsidRPr="008768A2">
        <w:rPr>
          <w:rFonts w:ascii="Times New Roman" w:hAnsi="Times New Roman" w:cs="Times New Roman"/>
          <w:color w:val="000000" w:themeColor="text1"/>
          <w:sz w:val="24"/>
          <w:szCs w:val="24"/>
        </w:rPr>
        <w:t xml:space="preserve"> </w:t>
      </w:r>
      <w:r w:rsidR="00102DC9" w:rsidRPr="008768A2">
        <w:rPr>
          <w:rFonts w:ascii="Times New Roman" w:hAnsi="Times New Roman" w:cs="Times New Roman"/>
          <w:color w:val="000000" w:themeColor="text1"/>
          <w:sz w:val="24"/>
          <w:szCs w:val="24"/>
        </w:rPr>
        <w:t>p</w:t>
      </w:r>
      <w:r w:rsidR="000B024F" w:rsidRPr="008768A2">
        <w:rPr>
          <w:rFonts w:ascii="Times New Roman" w:hAnsi="Times New Roman" w:cs="Times New Roman"/>
          <w:color w:val="000000" w:themeColor="text1"/>
          <w:sz w:val="24"/>
          <w:szCs w:val="24"/>
        </w:rPr>
        <w:t>rovost</w:t>
      </w:r>
      <w:r w:rsidR="000B024F" w:rsidRPr="008768A2">
        <w:rPr>
          <w:rFonts w:ascii="Times New Roman" w:hAnsi="Times New Roman" w:cs="Times New Roman"/>
          <w:color w:val="000000" w:themeColor="text1"/>
        </w:rPr>
        <w:t xml:space="preserve"> </w:t>
      </w:r>
      <w:r w:rsidRPr="008768A2">
        <w:rPr>
          <w:rFonts w:ascii="Times New Roman" w:hAnsi="Times New Roman" w:cs="Times New Roman"/>
          <w:color w:val="000000" w:themeColor="text1"/>
          <w:sz w:val="24"/>
          <w:szCs w:val="24"/>
        </w:rPr>
        <w:t xml:space="preserve">whose responsibilities are primarily teaching and be submitted according to </w:t>
      </w:r>
      <w:r w:rsidR="00417A4D" w:rsidRPr="008768A2">
        <w:rPr>
          <w:rFonts w:ascii="Times New Roman" w:hAnsi="Times New Roman" w:cs="Times New Roman"/>
          <w:color w:val="000000" w:themeColor="text1"/>
          <w:sz w:val="24"/>
          <w:szCs w:val="24"/>
        </w:rPr>
        <w:t>MLFTC</w:t>
      </w:r>
      <w:r w:rsidRPr="008768A2">
        <w:rPr>
          <w:rFonts w:ascii="Times New Roman" w:hAnsi="Times New Roman" w:cs="Times New Roman"/>
          <w:color w:val="000000" w:themeColor="text1"/>
          <w:sz w:val="24"/>
          <w:szCs w:val="24"/>
        </w:rPr>
        <w:t xml:space="preserve"> procedures and schedule</w:t>
      </w:r>
      <w:r w:rsidR="00417A4D" w:rsidRPr="008768A2">
        <w:rPr>
          <w:rFonts w:ascii="Times New Roman" w:hAnsi="Times New Roman" w:cs="Times New Roman"/>
          <w:color w:val="000000" w:themeColor="text1"/>
          <w:sz w:val="24"/>
          <w:szCs w:val="24"/>
        </w:rPr>
        <w:t>s</w:t>
      </w:r>
      <w:r w:rsidRPr="008768A2">
        <w:rPr>
          <w:rFonts w:ascii="Times New Roman" w:hAnsi="Times New Roman" w:cs="Times New Roman"/>
          <w:color w:val="000000" w:themeColor="text1"/>
          <w:sz w:val="24"/>
          <w:szCs w:val="24"/>
        </w:rPr>
        <w:t>. In addition to the</w:t>
      </w:r>
      <w:r w:rsidR="00102DC9" w:rsidRPr="008768A2">
        <w:rPr>
          <w:rFonts w:ascii="Times New Roman" w:hAnsi="Times New Roman" w:cs="Times New Roman"/>
          <w:color w:val="000000" w:themeColor="text1"/>
          <w:sz w:val="24"/>
          <w:szCs w:val="24"/>
        </w:rPr>
        <w:t xml:space="preserve"> ASU</w:t>
      </w:r>
      <w:r w:rsidRPr="008768A2">
        <w:rPr>
          <w:rFonts w:ascii="Times New Roman" w:hAnsi="Times New Roman" w:cs="Times New Roman"/>
          <w:color w:val="000000" w:themeColor="text1"/>
          <w:sz w:val="24"/>
          <w:szCs w:val="24"/>
        </w:rPr>
        <w:t xml:space="preserve"> </w:t>
      </w:r>
      <w:r w:rsidR="00E91082" w:rsidRPr="008768A2">
        <w:rPr>
          <w:rFonts w:ascii="Times New Roman" w:hAnsi="Times New Roman" w:cs="Times New Roman"/>
          <w:color w:val="000000" w:themeColor="text1"/>
          <w:sz w:val="24"/>
          <w:szCs w:val="24"/>
        </w:rPr>
        <w:t>provost’s</w:t>
      </w:r>
      <w:r w:rsidRPr="008768A2">
        <w:rPr>
          <w:rFonts w:ascii="Times New Roman" w:hAnsi="Times New Roman" w:cs="Times New Roman"/>
          <w:color w:val="000000" w:themeColor="text1"/>
          <w:sz w:val="24"/>
          <w:szCs w:val="24"/>
        </w:rPr>
        <w:t xml:space="preserve"> portfolio requirements, MLFTC requires three </w:t>
      </w:r>
      <w:r w:rsidR="00E91082" w:rsidRPr="008768A2">
        <w:rPr>
          <w:rFonts w:ascii="Times New Roman" w:hAnsi="Times New Roman" w:cs="Times New Roman"/>
          <w:color w:val="000000" w:themeColor="text1"/>
          <w:sz w:val="24"/>
          <w:szCs w:val="24"/>
        </w:rPr>
        <w:t xml:space="preserve">internal, </w:t>
      </w:r>
      <w:r w:rsidRPr="008768A2">
        <w:rPr>
          <w:rFonts w:ascii="Times New Roman" w:hAnsi="Times New Roman" w:cs="Times New Roman"/>
          <w:color w:val="000000" w:themeColor="text1"/>
          <w:sz w:val="24"/>
          <w:szCs w:val="24"/>
        </w:rPr>
        <w:t xml:space="preserve">confidential reviews of the candidate’s accomplishments </w:t>
      </w:r>
      <w:r w:rsidR="00E91082" w:rsidRPr="008768A2">
        <w:rPr>
          <w:rFonts w:ascii="Times New Roman" w:hAnsi="Times New Roman" w:cs="Times New Roman"/>
          <w:color w:val="000000" w:themeColor="text1"/>
          <w:sz w:val="24"/>
          <w:szCs w:val="24"/>
        </w:rPr>
        <w:t xml:space="preserve">written </w:t>
      </w:r>
      <w:r w:rsidRPr="008768A2">
        <w:rPr>
          <w:rFonts w:ascii="Times New Roman" w:hAnsi="Times New Roman" w:cs="Times New Roman"/>
          <w:color w:val="000000" w:themeColor="text1"/>
          <w:sz w:val="24"/>
          <w:szCs w:val="24"/>
        </w:rPr>
        <w:t xml:space="preserve">by </w:t>
      </w:r>
      <w:r w:rsidR="00E91082" w:rsidRPr="008768A2">
        <w:rPr>
          <w:rFonts w:ascii="Times New Roman" w:hAnsi="Times New Roman" w:cs="Times New Roman"/>
          <w:color w:val="000000" w:themeColor="text1"/>
          <w:sz w:val="24"/>
          <w:szCs w:val="24"/>
        </w:rPr>
        <w:t>TTE or CT</w:t>
      </w:r>
      <w:r w:rsidRPr="008768A2">
        <w:rPr>
          <w:rFonts w:ascii="Times New Roman" w:hAnsi="Times New Roman" w:cs="Times New Roman"/>
          <w:color w:val="000000" w:themeColor="text1"/>
          <w:sz w:val="24"/>
          <w:szCs w:val="24"/>
        </w:rPr>
        <w:t xml:space="preserve"> faculty with primary appointments in MLFTC</w:t>
      </w:r>
      <w:r w:rsidR="00E91082" w:rsidRPr="008768A2">
        <w:rPr>
          <w:rFonts w:ascii="Times New Roman" w:hAnsi="Times New Roman" w:cs="Times New Roman"/>
          <w:color w:val="000000" w:themeColor="text1"/>
          <w:sz w:val="24"/>
          <w:szCs w:val="24"/>
        </w:rPr>
        <w:t xml:space="preserve"> at</w:t>
      </w:r>
      <w:r w:rsidRPr="008768A2">
        <w:rPr>
          <w:rFonts w:ascii="Times New Roman" w:hAnsi="Times New Roman" w:cs="Times New Roman"/>
          <w:color w:val="000000" w:themeColor="text1"/>
          <w:sz w:val="24"/>
          <w:szCs w:val="24"/>
        </w:rPr>
        <w:t xml:space="preserve"> rank</w:t>
      </w:r>
      <w:r w:rsidR="00E91082" w:rsidRPr="008768A2">
        <w:rPr>
          <w:rFonts w:ascii="Times New Roman" w:hAnsi="Times New Roman" w:cs="Times New Roman"/>
          <w:color w:val="000000" w:themeColor="text1"/>
          <w:sz w:val="24"/>
          <w:szCs w:val="24"/>
        </w:rPr>
        <w:t>s</w:t>
      </w:r>
      <w:r w:rsidRPr="008768A2">
        <w:rPr>
          <w:rFonts w:ascii="Times New Roman" w:hAnsi="Times New Roman" w:cs="Times New Roman"/>
          <w:color w:val="000000" w:themeColor="text1"/>
          <w:sz w:val="24"/>
          <w:szCs w:val="24"/>
        </w:rPr>
        <w:t xml:space="preserve"> higher than that of the candidate. At least one should be from the same area of expertise (e.g., elementary education, special education, higher education) as the candidate seeking promotion. </w:t>
      </w:r>
    </w:p>
    <w:p w14:paraId="7C06A610" w14:textId="77777777" w:rsidR="0098279E" w:rsidRPr="008768A2" w:rsidRDefault="0098279E" w:rsidP="00202C0A">
      <w:pPr>
        <w:spacing w:line="240" w:lineRule="auto"/>
        <w:ind w:left="1440" w:right="1440"/>
        <w:rPr>
          <w:rFonts w:ascii="Times New Roman" w:hAnsi="Times New Roman" w:cs="Times New Roman"/>
          <w:color w:val="000000" w:themeColor="text1"/>
          <w:sz w:val="24"/>
          <w:szCs w:val="24"/>
        </w:rPr>
      </w:pPr>
    </w:p>
    <w:p w14:paraId="20B423CC" w14:textId="4BDE1FE8" w:rsidR="00646C37" w:rsidRPr="008768A2" w:rsidRDefault="00417A4D"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w:t>
      </w:r>
      <w:r w:rsidR="00646C37" w:rsidRPr="008768A2">
        <w:rPr>
          <w:rFonts w:ascii="Times New Roman" w:hAnsi="Times New Roman" w:cs="Times New Roman"/>
          <w:color w:val="000000" w:themeColor="text1"/>
          <w:sz w:val="24"/>
          <w:szCs w:val="24"/>
        </w:rPr>
        <w:t xml:space="preserve">candidate must submit a list of at least </w:t>
      </w:r>
      <w:r w:rsidRPr="008768A2">
        <w:rPr>
          <w:rFonts w:ascii="Times New Roman" w:hAnsi="Times New Roman" w:cs="Times New Roman"/>
          <w:color w:val="000000" w:themeColor="text1"/>
          <w:sz w:val="24"/>
          <w:szCs w:val="24"/>
        </w:rPr>
        <w:t>five</w:t>
      </w:r>
      <w:r w:rsidR="00646C37" w:rsidRPr="008768A2">
        <w:rPr>
          <w:rFonts w:ascii="Times New Roman" w:hAnsi="Times New Roman" w:cs="Times New Roman"/>
          <w:color w:val="000000" w:themeColor="text1"/>
          <w:sz w:val="24"/>
          <w:szCs w:val="24"/>
        </w:rPr>
        <w:t xml:space="preserve"> names of eligible internal reviewers who can evaluate and report on the candidate’s teaching, service, </w:t>
      </w:r>
      <w:r w:rsidR="005D304A" w:rsidRPr="008768A2">
        <w:rPr>
          <w:rFonts w:ascii="Times New Roman" w:hAnsi="Times New Roman" w:cs="Times New Roman"/>
          <w:color w:val="000000" w:themeColor="text1"/>
          <w:sz w:val="24"/>
          <w:szCs w:val="24"/>
        </w:rPr>
        <w:t xml:space="preserve">and scholarship (if applicable) </w:t>
      </w:r>
      <w:r w:rsidR="00556775" w:rsidRPr="008768A2">
        <w:rPr>
          <w:rFonts w:ascii="Times New Roman" w:hAnsi="Times New Roman" w:cs="Times New Roman"/>
          <w:color w:val="000000" w:themeColor="text1"/>
          <w:sz w:val="24"/>
          <w:szCs w:val="24"/>
        </w:rPr>
        <w:t>according to the candidate’s rank, position statements, and annual workload assignment</w:t>
      </w:r>
      <w:r w:rsidR="00646C37" w:rsidRPr="008768A2">
        <w:rPr>
          <w:rFonts w:ascii="Times New Roman" w:hAnsi="Times New Roman" w:cs="Times New Roman"/>
          <w:color w:val="000000" w:themeColor="text1"/>
          <w:sz w:val="24"/>
          <w:szCs w:val="24"/>
        </w:rPr>
        <w:t xml:space="preserve">. </w:t>
      </w:r>
      <w:r w:rsidR="0098279E" w:rsidRPr="008768A2">
        <w:rPr>
          <w:rFonts w:ascii="Times New Roman" w:hAnsi="Times New Roman" w:cs="Times New Roman"/>
          <w:color w:val="000000" w:themeColor="text1"/>
          <w:sz w:val="24"/>
          <w:szCs w:val="24"/>
        </w:rPr>
        <w:t xml:space="preserve">The vice dean will select two from the list provided by the candidate and one additional reviewer. If the candidate’s appointment is with a research center or institute, the unit director must write an additional letter </w:t>
      </w:r>
      <w:r w:rsidR="0098279E" w:rsidRPr="008768A2">
        <w:rPr>
          <w:rFonts w:ascii="Times New Roman" w:hAnsi="Times New Roman" w:cs="Times New Roman"/>
          <w:color w:val="000000" w:themeColor="text1"/>
          <w:sz w:val="24"/>
          <w:szCs w:val="24"/>
        </w:rPr>
        <w:lastRenderedPageBreak/>
        <w:t>evaluating the case</w:t>
      </w:r>
      <w:r w:rsidR="005D304A" w:rsidRPr="008768A2">
        <w:rPr>
          <w:rFonts w:ascii="Times New Roman" w:hAnsi="Times New Roman" w:cs="Times New Roman"/>
          <w:color w:val="000000" w:themeColor="text1"/>
          <w:sz w:val="24"/>
          <w:szCs w:val="24"/>
        </w:rPr>
        <w:t xml:space="preserve">, including </w:t>
      </w:r>
      <w:proofErr w:type="gramStart"/>
      <w:r w:rsidR="005D304A" w:rsidRPr="008768A2">
        <w:rPr>
          <w:rFonts w:ascii="Times New Roman" w:hAnsi="Times New Roman" w:cs="Times New Roman"/>
          <w:color w:val="000000" w:themeColor="text1"/>
          <w:sz w:val="24"/>
          <w:szCs w:val="24"/>
        </w:rPr>
        <w:t>all of</w:t>
      </w:r>
      <w:proofErr w:type="gramEnd"/>
      <w:r w:rsidR="005D304A" w:rsidRPr="008768A2">
        <w:rPr>
          <w:rFonts w:ascii="Times New Roman" w:hAnsi="Times New Roman" w:cs="Times New Roman"/>
          <w:color w:val="000000" w:themeColor="text1"/>
          <w:sz w:val="24"/>
          <w:szCs w:val="24"/>
        </w:rPr>
        <w:t xml:space="preserve"> the materials the candidate has submitted for promotion</w:t>
      </w:r>
      <w:r w:rsidR="0098279E" w:rsidRPr="008768A2">
        <w:rPr>
          <w:rFonts w:ascii="Times New Roman" w:hAnsi="Times New Roman" w:cs="Times New Roman"/>
          <w:color w:val="000000" w:themeColor="text1"/>
          <w:sz w:val="24"/>
          <w:szCs w:val="24"/>
        </w:rPr>
        <w:t>. These letters are included in the candidate’s portfolio.</w:t>
      </w:r>
    </w:p>
    <w:p w14:paraId="4225E7AF" w14:textId="77777777" w:rsidR="00556775" w:rsidRPr="008768A2" w:rsidRDefault="00556775" w:rsidP="00202C0A">
      <w:pPr>
        <w:spacing w:line="240" w:lineRule="auto"/>
        <w:ind w:left="1440" w:right="1440"/>
        <w:rPr>
          <w:rFonts w:ascii="Times New Roman" w:hAnsi="Times New Roman" w:cs="Times New Roman"/>
          <w:color w:val="000000" w:themeColor="text1"/>
          <w:sz w:val="24"/>
          <w:szCs w:val="24"/>
        </w:rPr>
      </w:pPr>
    </w:p>
    <w:p w14:paraId="339E3BC5" w14:textId="69527C43" w:rsidR="00646C37" w:rsidRPr="008768A2" w:rsidRDefault="004C73B3" w:rsidP="004C73B3">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The portfolio is then submitted to the vice dean of the candidate’s division, who prepares an independent letter evaluating the case</w:t>
      </w:r>
      <w:r w:rsidR="00646C37" w:rsidRPr="008768A2">
        <w:rPr>
          <w:rFonts w:ascii="Times New Roman" w:hAnsi="Times New Roman" w:cs="Times New Roman"/>
          <w:color w:val="000000" w:themeColor="text1"/>
          <w:sz w:val="24"/>
          <w:szCs w:val="24"/>
        </w:rPr>
        <w:t xml:space="preserve"> in relation to the</w:t>
      </w:r>
      <w:r w:rsidRPr="008768A2">
        <w:rPr>
          <w:rFonts w:ascii="Times New Roman" w:hAnsi="Times New Roman" w:cs="Times New Roman"/>
          <w:color w:val="000000" w:themeColor="text1"/>
          <w:sz w:val="24"/>
          <w:szCs w:val="24"/>
        </w:rPr>
        <w:t xml:space="preserve"> MLFTC</w:t>
      </w:r>
      <w:r w:rsidR="00646C37" w:rsidRPr="008768A2">
        <w:rPr>
          <w:rFonts w:ascii="Times New Roman" w:hAnsi="Times New Roman" w:cs="Times New Roman"/>
          <w:color w:val="000000" w:themeColor="text1"/>
          <w:sz w:val="24"/>
          <w:szCs w:val="24"/>
        </w:rPr>
        <w:t xml:space="preserve"> SoA</w:t>
      </w:r>
      <w:r w:rsidR="00417A4D" w:rsidRPr="008768A2">
        <w:rPr>
          <w:rFonts w:ascii="Times New Roman" w:hAnsi="Times New Roman" w:cs="Times New Roman"/>
          <w:color w:val="000000" w:themeColor="text1"/>
          <w:sz w:val="24"/>
          <w:szCs w:val="24"/>
        </w:rPr>
        <w:t>s</w:t>
      </w:r>
      <w:r w:rsidR="00646C37" w:rsidRPr="008768A2">
        <w:rPr>
          <w:rFonts w:ascii="Times New Roman" w:hAnsi="Times New Roman" w:cs="Times New Roman"/>
          <w:color w:val="000000" w:themeColor="text1"/>
          <w:sz w:val="24"/>
          <w:szCs w:val="24"/>
        </w:rPr>
        <w:t xml:space="preserve">. The vice dean provides a recommendation for or against promotion including a rationale for their recommendation. </w:t>
      </w:r>
    </w:p>
    <w:p w14:paraId="5867C796"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147018D0" w14:textId="1CD33D9F" w:rsidR="00417A4D" w:rsidRPr="008768A2" w:rsidRDefault="00417A4D"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Next, </w:t>
      </w:r>
      <w:r w:rsidR="0098279E" w:rsidRPr="008768A2">
        <w:rPr>
          <w:rFonts w:ascii="Times New Roman" w:hAnsi="Times New Roman" w:cs="Times New Roman"/>
          <w:color w:val="000000" w:themeColor="text1"/>
          <w:sz w:val="24"/>
          <w:szCs w:val="24"/>
        </w:rPr>
        <w:t xml:space="preserve">TTE and CT </w:t>
      </w:r>
      <w:r w:rsidRPr="008768A2">
        <w:rPr>
          <w:rFonts w:ascii="Times New Roman" w:hAnsi="Times New Roman" w:cs="Times New Roman"/>
          <w:color w:val="000000" w:themeColor="text1"/>
          <w:sz w:val="24"/>
          <w:szCs w:val="24"/>
        </w:rPr>
        <w:t>m</w:t>
      </w:r>
      <w:r w:rsidR="00646C37" w:rsidRPr="008768A2">
        <w:rPr>
          <w:rFonts w:ascii="Times New Roman" w:hAnsi="Times New Roman" w:cs="Times New Roman"/>
          <w:color w:val="000000" w:themeColor="text1"/>
          <w:sz w:val="24"/>
          <w:szCs w:val="24"/>
        </w:rPr>
        <w:t xml:space="preserve">embers of the </w:t>
      </w:r>
      <w:r w:rsidRPr="008768A2">
        <w:rPr>
          <w:rFonts w:ascii="Times New Roman" w:hAnsi="Times New Roman" w:cs="Times New Roman"/>
          <w:color w:val="000000" w:themeColor="text1"/>
          <w:sz w:val="24"/>
          <w:szCs w:val="24"/>
        </w:rPr>
        <w:t xml:space="preserve">CT </w:t>
      </w:r>
      <w:r w:rsidR="00646C37" w:rsidRPr="008768A2">
        <w:rPr>
          <w:rFonts w:ascii="Times New Roman" w:hAnsi="Times New Roman" w:cs="Times New Roman"/>
          <w:color w:val="000000" w:themeColor="text1"/>
          <w:sz w:val="24"/>
          <w:szCs w:val="24"/>
        </w:rPr>
        <w:t xml:space="preserve">PEC, who hold </w:t>
      </w:r>
      <w:r w:rsidR="0098279E" w:rsidRPr="008768A2">
        <w:rPr>
          <w:rFonts w:ascii="Times New Roman" w:hAnsi="Times New Roman" w:cs="Times New Roman"/>
          <w:color w:val="000000" w:themeColor="text1"/>
          <w:sz w:val="24"/>
          <w:szCs w:val="24"/>
        </w:rPr>
        <w:t xml:space="preserve">TTE or </w:t>
      </w:r>
      <w:r w:rsidR="00C33D78" w:rsidRPr="008768A2">
        <w:rPr>
          <w:rFonts w:ascii="Times New Roman" w:hAnsi="Times New Roman" w:cs="Times New Roman"/>
          <w:color w:val="000000" w:themeColor="text1"/>
          <w:sz w:val="24"/>
          <w:szCs w:val="24"/>
        </w:rPr>
        <w:t xml:space="preserve">CT </w:t>
      </w:r>
      <w:r w:rsidR="00646C37" w:rsidRPr="008768A2">
        <w:rPr>
          <w:rFonts w:ascii="Times New Roman" w:hAnsi="Times New Roman" w:cs="Times New Roman"/>
          <w:color w:val="000000" w:themeColor="text1"/>
          <w:sz w:val="24"/>
          <w:szCs w:val="24"/>
        </w:rPr>
        <w:t>ranks at or above that for which the candidate is applying, review the candidate’s portfolio, including the vice dean’s recommendation. Any member</w:t>
      </w:r>
      <w:r w:rsidR="0098279E" w:rsidRPr="008768A2">
        <w:rPr>
          <w:rFonts w:ascii="Times New Roman" w:hAnsi="Times New Roman" w:cs="Times New Roman"/>
          <w:color w:val="000000" w:themeColor="text1"/>
          <w:sz w:val="24"/>
          <w:szCs w:val="24"/>
        </w:rPr>
        <w:t>s</w:t>
      </w:r>
      <w:r w:rsidR="00646C37" w:rsidRPr="008768A2">
        <w:rPr>
          <w:rFonts w:ascii="Times New Roman" w:hAnsi="Times New Roman" w:cs="Times New Roman"/>
          <w:color w:val="000000" w:themeColor="text1"/>
          <w:sz w:val="24"/>
          <w:szCs w:val="24"/>
        </w:rPr>
        <w:t xml:space="preserve"> who served as internal reviewer</w:t>
      </w:r>
      <w:r w:rsidR="0098279E" w:rsidRPr="008768A2">
        <w:rPr>
          <w:rFonts w:ascii="Times New Roman" w:hAnsi="Times New Roman" w:cs="Times New Roman"/>
          <w:color w:val="000000" w:themeColor="text1"/>
          <w:sz w:val="24"/>
          <w:szCs w:val="24"/>
        </w:rPr>
        <w:t>s</w:t>
      </w:r>
      <w:r w:rsidR="00646C37" w:rsidRPr="008768A2">
        <w:rPr>
          <w:rFonts w:ascii="Times New Roman" w:hAnsi="Times New Roman" w:cs="Times New Roman"/>
          <w:color w:val="000000" w:themeColor="text1"/>
          <w:sz w:val="24"/>
          <w:szCs w:val="24"/>
        </w:rPr>
        <w:t xml:space="preserve"> for the portfolio must recuse themselves. If there are fewer than </w:t>
      </w:r>
      <w:r w:rsidRPr="008768A2">
        <w:rPr>
          <w:rFonts w:ascii="Times New Roman" w:hAnsi="Times New Roman" w:cs="Times New Roman"/>
          <w:color w:val="000000" w:themeColor="text1"/>
          <w:sz w:val="24"/>
          <w:szCs w:val="24"/>
        </w:rPr>
        <w:t>five</w:t>
      </w:r>
      <w:r w:rsidR="00646C37" w:rsidRPr="008768A2">
        <w:rPr>
          <w:rFonts w:ascii="Times New Roman" w:hAnsi="Times New Roman" w:cs="Times New Roman"/>
          <w:color w:val="000000" w:themeColor="text1"/>
          <w:sz w:val="24"/>
          <w:szCs w:val="24"/>
        </w:rPr>
        <w:t xml:space="preserve"> members of the </w:t>
      </w:r>
      <w:r w:rsidRPr="008768A2">
        <w:rPr>
          <w:rFonts w:ascii="Times New Roman" w:hAnsi="Times New Roman" w:cs="Times New Roman"/>
          <w:color w:val="000000" w:themeColor="text1"/>
          <w:sz w:val="24"/>
          <w:szCs w:val="24"/>
        </w:rPr>
        <w:t xml:space="preserve">CT </w:t>
      </w:r>
      <w:r w:rsidR="00646C37" w:rsidRPr="008768A2">
        <w:rPr>
          <w:rFonts w:ascii="Times New Roman" w:hAnsi="Times New Roman" w:cs="Times New Roman"/>
          <w:color w:val="000000" w:themeColor="text1"/>
          <w:sz w:val="24"/>
          <w:szCs w:val="24"/>
        </w:rPr>
        <w:t>PEC who are qualified to review the portfolio, an ad</w:t>
      </w:r>
      <w:r w:rsidRPr="008768A2">
        <w:rPr>
          <w:rFonts w:ascii="Times New Roman" w:hAnsi="Times New Roman" w:cs="Times New Roman"/>
          <w:color w:val="000000" w:themeColor="text1"/>
          <w:sz w:val="24"/>
          <w:szCs w:val="24"/>
        </w:rPr>
        <w:t xml:space="preserve"> </w:t>
      </w:r>
      <w:r w:rsidR="00646C37" w:rsidRPr="008768A2">
        <w:rPr>
          <w:rFonts w:ascii="Times New Roman" w:hAnsi="Times New Roman" w:cs="Times New Roman"/>
          <w:color w:val="000000" w:themeColor="text1"/>
          <w:sz w:val="24"/>
          <w:szCs w:val="24"/>
        </w:rPr>
        <w:t xml:space="preserve">hoc </w:t>
      </w:r>
      <w:r w:rsidR="0098279E" w:rsidRPr="008768A2">
        <w:rPr>
          <w:rFonts w:ascii="Times New Roman" w:hAnsi="Times New Roman" w:cs="Times New Roman"/>
          <w:color w:val="000000" w:themeColor="text1"/>
          <w:sz w:val="24"/>
          <w:szCs w:val="24"/>
        </w:rPr>
        <w:t xml:space="preserve">set of </w:t>
      </w:r>
      <w:r w:rsidR="00646C37" w:rsidRPr="008768A2">
        <w:rPr>
          <w:rFonts w:ascii="Times New Roman" w:hAnsi="Times New Roman" w:cs="Times New Roman"/>
          <w:color w:val="000000" w:themeColor="text1"/>
          <w:sz w:val="24"/>
          <w:szCs w:val="24"/>
        </w:rPr>
        <w:t xml:space="preserve">committee </w:t>
      </w:r>
      <w:r w:rsidR="0098279E" w:rsidRPr="008768A2">
        <w:rPr>
          <w:rFonts w:ascii="Times New Roman" w:hAnsi="Times New Roman" w:cs="Times New Roman"/>
          <w:color w:val="000000" w:themeColor="text1"/>
          <w:sz w:val="24"/>
          <w:szCs w:val="24"/>
        </w:rPr>
        <w:t>members will</w:t>
      </w:r>
      <w:r w:rsidR="00646C37" w:rsidRPr="008768A2">
        <w:rPr>
          <w:rFonts w:ascii="Times New Roman" w:hAnsi="Times New Roman" w:cs="Times New Roman"/>
          <w:color w:val="000000" w:themeColor="text1"/>
          <w:sz w:val="24"/>
          <w:szCs w:val="24"/>
        </w:rPr>
        <w:t xml:space="preserve"> be </w:t>
      </w:r>
      <w:r w:rsidR="0098279E" w:rsidRPr="008768A2">
        <w:rPr>
          <w:rFonts w:ascii="Times New Roman" w:hAnsi="Times New Roman" w:cs="Times New Roman"/>
          <w:color w:val="000000" w:themeColor="text1"/>
          <w:sz w:val="24"/>
          <w:szCs w:val="24"/>
        </w:rPr>
        <w:t>elected via the procedures established by MLFTC’s Governance Committee.</w:t>
      </w:r>
    </w:p>
    <w:p w14:paraId="340C6F6B" w14:textId="77777777" w:rsidR="0068377C" w:rsidRPr="008768A2" w:rsidRDefault="0068377C" w:rsidP="00202C0A">
      <w:pPr>
        <w:spacing w:line="240" w:lineRule="auto"/>
        <w:ind w:left="1440" w:right="1440"/>
        <w:rPr>
          <w:rFonts w:ascii="Times New Roman" w:hAnsi="Times New Roman" w:cs="Times New Roman"/>
          <w:color w:val="000000" w:themeColor="text1"/>
          <w:sz w:val="24"/>
          <w:szCs w:val="24"/>
        </w:rPr>
      </w:pPr>
    </w:p>
    <w:p w14:paraId="2060A939" w14:textId="5C38163A" w:rsidR="00646C37"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After reviewing the portfolio, </w:t>
      </w:r>
      <w:r w:rsidR="00417A4D" w:rsidRPr="008768A2">
        <w:rPr>
          <w:rFonts w:ascii="Times New Roman" w:hAnsi="Times New Roman" w:cs="Times New Roman"/>
          <w:color w:val="000000" w:themeColor="text1"/>
          <w:sz w:val="24"/>
          <w:szCs w:val="24"/>
        </w:rPr>
        <w:t xml:space="preserve">CT PEC members (including ad hoc CT PEC members, if needed) </w:t>
      </w:r>
      <w:r w:rsidRPr="008768A2">
        <w:rPr>
          <w:rFonts w:ascii="Times New Roman" w:hAnsi="Times New Roman" w:cs="Times New Roman"/>
          <w:color w:val="000000" w:themeColor="text1"/>
          <w:sz w:val="24"/>
          <w:szCs w:val="24"/>
        </w:rPr>
        <w:t>vote on whether to recommend promotion. The committee then prepares a written report that outlines the candidate's strengths and weaknesses in relation to the SoA</w:t>
      </w:r>
      <w:r w:rsidR="00417A4D" w:rsidRPr="008768A2">
        <w:rPr>
          <w:rFonts w:ascii="Times New Roman" w:hAnsi="Times New Roman" w:cs="Times New Roman"/>
          <w:color w:val="000000" w:themeColor="text1"/>
          <w:sz w:val="24"/>
          <w:szCs w:val="24"/>
        </w:rPr>
        <w:t>s</w:t>
      </w:r>
      <w:r w:rsidRPr="008768A2">
        <w:rPr>
          <w:rFonts w:ascii="Times New Roman" w:hAnsi="Times New Roman" w:cs="Times New Roman"/>
          <w:color w:val="000000" w:themeColor="text1"/>
          <w:sz w:val="24"/>
          <w:szCs w:val="24"/>
        </w:rPr>
        <w:t xml:space="preserve"> and provides a recommendation for or against promotion, including a rationale for this recommendation. The vote of the </w:t>
      </w:r>
      <w:r w:rsidR="00417A4D" w:rsidRPr="008768A2">
        <w:rPr>
          <w:rFonts w:ascii="Times New Roman" w:hAnsi="Times New Roman" w:cs="Times New Roman"/>
          <w:color w:val="000000" w:themeColor="text1"/>
          <w:sz w:val="24"/>
          <w:szCs w:val="24"/>
        </w:rPr>
        <w:t>CT PEC</w:t>
      </w:r>
      <w:r w:rsidRPr="008768A2">
        <w:rPr>
          <w:rFonts w:ascii="Times New Roman" w:hAnsi="Times New Roman" w:cs="Times New Roman"/>
          <w:color w:val="000000" w:themeColor="text1"/>
          <w:sz w:val="24"/>
          <w:szCs w:val="24"/>
        </w:rPr>
        <w:t xml:space="preserve"> must be indicated in the written report. If the committee’s vote for promotion is not unanimous, the report should reflect these judgments and provide majority and minority opinions. This written report should be reviewed, discussed, and signed by the </w:t>
      </w:r>
      <w:r w:rsidR="005D304A" w:rsidRPr="008768A2">
        <w:rPr>
          <w:rFonts w:ascii="Times New Roman" w:hAnsi="Times New Roman" w:cs="Times New Roman"/>
          <w:color w:val="000000" w:themeColor="text1"/>
          <w:sz w:val="24"/>
          <w:szCs w:val="24"/>
        </w:rPr>
        <w:t>reviewing</w:t>
      </w:r>
      <w:r w:rsidRPr="008768A2">
        <w:rPr>
          <w:rFonts w:ascii="Times New Roman" w:hAnsi="Times New Roman" w:cs="Times New Roman"/>
          <w:color w:val="000000" w:themeColor="text1"/>
          <w:sz w:val="24"/>
          <w:szCs w:val="24"/>
        </w:rPr>
        <w:t xml:space="preserve"> committee prior to placing it in the faculty member's file. </w:t>
      </w:r>
    </w:p>
    <w:p w14:paraId="3748C07B" w14:textId="77777777" w:rsidR="00646C37" w:rsidRPr="008768A2" w:rsidRDefault="00646C37" w:rsidP="00202C0A">
      <w:pPr>
        <w:spacing w:line="240" w:lineRule="auto"/>
        <w:ind w:left="1440" w:right="1440"/>
        <w:rPr>
          <w:rFonts w:ascii="Times New Roman" w:hAnsi="Times New Roman" w:cs="Times New Roman"/>
          <w:color w:val="000000" w:themeColor="text1"/>
          <w:sz w:val="24"/>
          <w:szCs w:val="24"/>
        </w:rPr>
      </w:pPr>
    </w:p>
    <w:p w14:paraId="7D0D012D" w14:textId="03663166" w:rsidR="00646C37"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w:t>
      </w:r>
      <w:r w:rsidR="00417A4D" w:rsidRPr="008768A2">
        <w:rPr>
          <w:rFonts w:ascii="Times New Roman" w:hAnsi="Times New Roman" w:cs="Times New Roman"/>
          <w:color w:val="000000" w:themeColor="text1"/>
          <w:sz w:val="24"/>
          <w:szCs w:val="24"/>
        </w:rPr>
        <w:t>file</w:t>
      </w:r>
      <w:r w:rsidRPr="008768A2">
        <w:rPr>
          <w:rFonts w:ascii="Times New Roman" w:hAnsi="Times New Roman" w:cs="Times New Roman"/>
          <w:color w:val="000000" w:themeColor="text1"/>
          <w:sz w:val="24"/>
          <w:szCs w:val="24"/>
        </w:rPr>
        <w:t xml:space="preserve"> is then forwarded to the dean, who reviews the candidate’s dossier and prepares a report that outlines their strengths and weaknesses</w:t>
      </w:r>
      <w:r w:rsidR="00417A4D" w:rsidRPr="008768A2">
        <w:rPr>
          <w:rFonts w:ascii="Times New Roman" w:hAnsi="Times New Roman" w:cs="Times New Roman"/>
          <w:color w:val="000000" w:themeColor="text1"/>
          <w:sz w:val="24"/>
          <w:szCs w:val="24"/>
        </w:rPr>
        <w:t>, also</w:t>
      </w:r>
      <w:r w:rsidRPr="008768A2">
        <w:rPr>
          <w:rFonts w:ascii="Times New Roman" w:hAnsi="Times New Roman" w:cs="Times New Roman"/>
          <w:color w:val="000000" w:themeColor="text1"/>
          <w:sz w:val="24"/>
          <w:szCs w:val="24"/>
        </w:rPr>
        <w:t xml:space="preserve"> in relation to the SoA</w:t>
      </w:r>
      <w:r w:rsidR="00417A4D" w:rsidRPr="008768A2">
        <w:rPr>
          <w:rFonts w:ascii="Times New Roman" w:hAnsi="Times New Roman" w:cs="Times New Roman"/>
          <w:color w:val="000000" w:themeColor="text1"/>
          <w:sz w:val="24"/>
          <w:szCs w:val="24"/>
        </w:rPr>
        <w:t>s</w:t>
      </w:r>
      <w:r w:rsidRPr="008768A2">
        <w:rPr>
          <w:rFonts w:ascii="Times New Roman" w:hAnsi="Times New Roman" w:cs="Times New Roman"/>
          <w:color w:val="000000" w:themeColor="text1"/>
          <w:sz w:val="24"/>
          <w:szCs w:val="24"/>
        </w:rPr>
        <w:t xml:space="preserve">. The dean provides a recommendation for or against promotion including a rationale for their recommendation. Unless the candidate chooses to withdraw from further consideration at this point, the portfolio including all college-level letters is submitted to the </w:t>
      </w:r>
      <w:r w:rsidR="00102DC9" w:rsidRPr="008768A2">
        <w:rPr>
          <w:rFonts w:ascii="Times New Roman" w:hAnsi="Times New Roman" w:cs="Times New Roman"/>
          <w:color w:val="000000" w:themeColor="text1"/>
          <w:sz w:val="24"/>
          <w:szCs w:val="24"/>
        </w:rPr>
        <w:t>ASU</w:t>
      </w:r>
      <w:r w:rsidRPr="008768A2">
        <w:rPr>
          <w:rFonts w:ascii="Times New Roman" w:hAnsi="Times New Roman" w:cs="Times New Roman"/>
          <w:color w:val="000000" w:themeColor="text1"/>
          <w:sz w:val="24"/>
          <w:szCs w:val="24"/>
        </w:rPr>
        <w:t xml:space="preserve"> provost by the deadline indicated on the Schedule of Academic Personnel Actions. </w:t>
      </w:r>
    </w:p>
    <w:p w14:paraId="0C487CD1" w14:textId="77777777" w:rsidR="00417A4D" w:rsidRPr="008768A2" w:rsidRDefault="00417A4D" w:rsidP="00202C0A">
      <w:pPr>
        <w:spacing w:line="240" w:lineRule="auto"/>
        <w:ind w:left="1440" w:right="1440"/>
        <w:rPr>
          <w:rFonts w:ascii="Times New Roman" w:hAnsi="Times New Roman" w:cs="Times New Roman"/>
          <w:color w:val="000000" w:themeColor="text1"/>
          <w:sz w:val="24"/>
          <w:szCs w:val="24"/>
        </w:rPr>
      </w:pPr>
    </w:p>
    <w:p w14:paraId="3B5BF832" w14:textId="62044C11" w:rsidR="00417A4D"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w:t>
      </w:r>
      <w:r w:rsidR="00014D0D" w:rsidRPr="008768A2">
        <w:rPr>
          <w:rFonts w:ascii="Times New Roman" w:hAnsi="Times New Roman" w:cs="Times New Roman"/>
          <w:color w:val="000000" w:themeColor="text1"/>
          <w:sz w:val="24"/>
          <w:szCs w:val="24"/>
        </w:rPr>
        <w:t xml:space="preserve">CT </w:t>
      </w:r>
      <w:r w:rsidRPr="008768A2">
        <w:rPr>
          <w:rFonts w:ascii="Times New Roman" w:hAnsi="Times New Roman" w:cs="Times New Roman"/>
          <w:color w:val="000000" w:themeColor="text1"/>
          <w:sz w:val="24"/>
          <w:szCs w:val="24"/>
        </w:rPr>
        <w:t xml:space="preserve">PEC, vice dean, and dean will consider all information presented in the faculty member’s portfolio and analyses from </w:t>
      </w:r>
      <w:r w:rsidR="00066A30" w:rsidRPr="008768A2">
        <w:rPr>
          <w:rFonts w:ascii="Times New Roman" w:hAnsi="Times New Roman" w:cs="Times New Roman"/>
          <w:color w:val="000000" w:themeColor="text1"/>
          <w:sz w:val="24"/>
          <w:szCs w:val="24"/>
        </w:rPr>
        <w:t>the candidate’s</w:t>
      </w:r>
      <w:r w:rsidR="00417A4D"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 xml:space="preserve">reviewers. </w:t>
      </w:r>
    </w:p>
    <w:p w14:paraId="7F1C700D" w14:textId="77777777" w:rsidR="00417A4D" w:rsidRPr="008768A2" w:rsidRDefault="00417A4D" w:rsidP="00202C0A">
      <w:pPr>
        <w:spacing w:line="240" w:lineRule="auto"/>
        <w:ind w:left="1440" w:right="1440"/>
        <w:rPr>
          <w:rFonts w:ascii="Times New Roman" w:hAnsi="Times New Roman" w:cs="Times New Roman"/>
          <w:color w:val="000000" w:themeColor="text1"/>
          <w:sz w:val="24"/>
          <w:szCs w:val="24"/>
        </w:rPr>
      </w:pPr>
    </w:p>
    <w:p w14:paraId="028390D3" w14:textId="09D4A385" w:rsidR="00B23F89" w:rsidRPr="008768A2" w:rsidRDefault="00646C37" w:rsidP="00202C0A">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Please see the </w:t>
      </w:r>
      <w:r w:rsidR="00102DC9" w:rsidRPr="008768A2">
        <w:rPr>
          <w:rFonts w:ascii="Times New Roman" w:hAnsi="Times New Roman" w:cs="Times New Roman"/>
          <w:color w:val="000000" w:themeColor="text1"/>
          <w:sz w:val="24"/>
          <w:szCs w:val="24"/>
        </w:rPr>
        <w:t>ASU</w:t>
      </w:r>
      <w:r w:rsidRPr="008768A2">
        <w:rPr>
          <w:rFonts w:ascii="Times New Roman" w:hAnsi="Times New Roman" w:cs="Times New Roman"/>
          <w:color w:val="000000" w:themeColor="text1"/>
          <w:sz w:val="24"/>
          <w:szCs w:val="24"/>
        </w:rPr>
        <w:t xml:space="preserve"> provost's</w:t>
      </w:r>
      <w:r w:rsidR="007658B4" w:rsidRPr="008768A2">
        <w:rPr>
          <w:rFonts w:ascii="Times New Roman" w:hAnsi="Times New Roman" w:cs="Times New Roman"/>
          <w:color w:val="000000" w:themeColor="text1"/>
          <w:sz w:val="24"/>
          <w:szCs w:val="24"/>
        </w:rPr>
        <w:t xml:space="preserve"> “</w:t>
      </w:r>
      <w:hyperlink r:id="rId74">
        <w:r w:rsidRPr="00646C37">
          <w:rPr>
            <w:rStyle w:val="Hyperlink"/>
            <w:rFonts w:ascii="Times New Roman" w:hAnsi="Times New Roman" w:cs="Times New Roman"/>
            <w:sz w:val="24"/>
            <w:szCs w:val="24"/>
          </w:rPr>
          <w:t>Personnel Processes</w:t>
        </w:r>
      </w:hyperlink>
      <w:r w:rsidR="007658B4"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site</w:t>
      </w:r>
      <w:r w:rsidR="007658B4"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 xml:space="preserve">under Faculty Process Guides for more information on file requirements. </w:t>
      </w:r>
    </w:p>
    <w:p w14:paraId="25D98DF7" w14:textId="097AD910" w:rsidR="00B23F89" w:rsidRPr="008768A2" w:rsidRDefault="00B23F89" w:rsidP="00B23F89">
      <w:pPr>
        <w:pStyle w:val="Heading3"/>
        <w:widowControl w:val="0"/>
        <w:spacing w:after="0" w:line="240" w:lineRule="auto"/>
        <w:ind w:left="1440" w:right="1440"/>
        <w:rPr>
          <w:rFonts w:ascii="Times New Roman" w:eastAsia="Times New Roman" w:hAnsi="Times New Roman" w:cs="Times New Roman"/>
          <w:color w:val="000000" w:themeColor="text1"/>
        </w:rPr>
      </w:pPr>
      <w:r w:rsidRPr="008768A2">
        <w:rPr>
          <w:rFonts w:ascii="Times New Roman" w:eastAsia="Times New Roman" w:hAnsi="Times New Roman" w:cs="Times New Roman"/>
          <w:color w:val="000000" w:themeColor="text1"/>
        </w:rPr>
        <w:t xml:space="preserve">5.1.2 Promotion of Research Faculty </w:t>
      </w:r>
    </w:p>
    <w:p w14:paraId="7159FF40" w14:textId="77777777" w:rsidR="00B23F89" w:rsidRPr="008768A2" w:rsidRDefault="00B23F89" w:rsidP="00B23F89">
      <w:pPr>
        <w:rPr>
          <w:rFonts w:ascii="Times New Roman" w:hAnsi="Times New Roman" w:cs="Times New Roman"/>
          <w:color w:val="000000" w:themeColor="text1"/>
          <w:sz w:val="24"/>
          <w:szCs w:val="24"/>
        </w:rPr>
      </w:pPr>
    </w:p>
    <w:p w14:paraId="52953074" w14:textId="4987731A"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According to </w:t>
      </w:r>
      <w:hyperlink r:id="rId75" w:history="1">
        <w:r w:rsidRPr="00B23F89">
          <w:rPr>
            <w:rStyle w:val="Hyperlink"/>
            <w:rFonts w:ascii="Times New Roman" w:hAnsi="Times New Roman" w:cs="Times New Roman"/>
            <w:sz w:val="24"/>
            <w:szCs w:val="24"/>
          </w:rPr>
          <w:t>ACD 505-02:</w:t>
        </w:r>
      </w:hyperlink>
      <w:r w:rsidRPr="008768A2">
        <w:rPr>
          <w:rFonts w:ascii="Times New Roman" w:hAnsi="Times New Roman" w:cs="Times New Roman"/>
          <w:color w:val="000000" w:themeColor="text1"/>
          <w:sz w:val="24"/>
          <w:szCs w:val="24"/>
        </w:rPr>
        <w:t xml:space="preserve"> “Research faculty are fixed-term faculty members who are qualified to engage in, be responsible for, or oversee a significant area of research or scholarship. They may also serve as principal or co-principal investigators on grants or contracts administered by the university or take on other appropriate responsibilities.” </w:t>
      </w:r>
    </w:p>
    <w:p w14:paraId="3521BA12" w14:textId="77777777" w:rsidR="00B23F89" w:rsidRPr="008768A2" w:rsidRDefault="00B23F89" w:rsidP="00352B58">
      <w:pPr>
        <w:spacing w:line="240" w:lineRule="auto"/>
        <w:ind w:right="1440"/>
        <w:rPr>
          <w:rFonts w:ascii="Times New Roman" w:hAnsi="Times New Roman" w:cs="Times New Roman"/>
          <w:color w:val="000000" w:themeColor="text1"/>
          <w:sz w:val="24"/>
          <w:szCs w:val="24"/>
        </w:rPr>
      </w:pPr>
    </w:p>
    <w:p w14:paraId="69EC2425" w14:textId="661C0791" w:rsidR="00B23F89" w:rsidRDefault="00B23F89" w:rsidP="00B23F89">
      <w:pPr>
        <w:spacing w:line="240" w:lineRule="auto"/>
        <w:ind w:left="1440" w:right="1440"/>
        <w:rPr>
          <w:rFonts w:ascii="Times New Roman" w:hAnsi="Times New Roman" w:cs="Times New Roman"/>
          <w:sz w:val="24"/>
          <w:szCs w:val="24"/>
        </w:rPr>
      </w:pPr>
      <w:r w:rsidRPr="008768A2">
        <w:rPr>
          <w:rFonts w:ascii="Times New Roman" w:hAnsi="Times New Roman" w:cs="Times New Roman"/>
          <w:color w:val="000000" w:themeColor="text1"/>
          <w:sz w:val="24"/>
          <w:szCs w:val="24"/>
        </w:rPr>
        <w:t xml:space="preserve">Research faculty may be at the rank of research assistant, research associate, or research full professor. Rank designates the degree to which a member of the research faculty has achieved excellence in the work they do, demonstrated program- or enterprise-level success, and shown </w:t>
      </w:r>
      <w:r w:rsidRPr="008768A2">
        <w:rPr>
          <w:rFonts w:ascii="Times New Roman" w:hAnsi="Times New Roman" w:cs="Times New Roman"/>
          <w:color w:val="000000" w:themeColor="text1"/>
          <w:sz w:val="24"/>
          <w:szCs w:val="24"/>
        </w:rPr>
        <w:lastRenderedPageBreak/>
        <w:t xml:space="preserve">leadership and impact in their area of expertise. Research faculty are also expected to uphold and align their work with the </w:t>
      </w:r>
      <w:hyperlink r:id="rId76" w:anchor=":~:text=ASU%20is%20a%20comprehensive%20public,of%20the%20communities%20it%20serves" w:history="1">
        <w:r w:rsidRPr="00B23F89">
          <w:rPr>
            <w:rStyle w:val="Hyperlink"/>
            <w:rFonts w:ascii="Times New Roman" w:hAnsi="Times New Roman" w:cs="Times New Roman"/>
            <w:sz w:val="24"/>
            <w:szCs w:val="24"/>
          </w:rPr>
          <w:t>ASU Charter</w:t>
        </w:r>
      </w:hyperlink>
      <w:r w:rsidRPr="00B23F89">
        <w:rPr>
          <w:rFonts w:ascii="Times New Roman" w:hAnsi="Times New Roman" w:cs="Times New Roman"/>
          <w:sz w:val="24"/>
          <w:szCs w:val="24"/>
        </w:rPr>
        <w:t xml:space="preserve"> and </w:t>
      </w:r>
      <w:hyperlink r:id="rId77" w:history="1">
        <w:r w:rsidRPr="00B23F89">
          <w:rPr>
            <w:rStyle w:val="Hyperlink"/>
            <w:rFonts w:ascii="Times New Roman" w:hAnsi="Times New Roman" w:cs="Times New Roman"/>
            <w:sz w:val="24"/>
            <w:szCs w:val="24"/>
          </w:rPr>
          <w:t>ASU’s Design Aspirations</w:t>
        </w:r>
      </w:hyperlink>
      <w:r w:rsidRPr="00B23F89">
        <w:rPr>
          <w:rFonts w:ascii="Times New Roman" w:hAnsi="Times New Roman" w:cs="Times New Roman"/>
          <w:sz w:val="24"/>
          <w:szCs w:val="24"/>
        </w:rPr>
        <w:t xml:space="preserve">. </w:t>
      </w:r>
    </w:p>
    <w:p w14:paraId="09DF2E2B" w14:textId="77777777" w:rsidR="00352B58" w:rsidRDefault="00352B58" w:rsidP="00B23F89">
      <w:pPr>
        <w:spacing w:line="240" w:lineRule="auto"/>
        <w:ind w:left="1440" w:right="1440"/>
        <w:rPr>
          <w:rFonts w:ascii="Times New Roman" w:hAnsi="Times New Roman" w:cs="Times New Roman"/>
          <w:sz w:val="24"/>
          <w:szCs w:val="24"/>
        </w:rPr>
      </w:pPr>
    </w:p>
    <w:p w14:paraId="54785B24" w14:textId="5A4E59C5" w:rsidR="00352B58" w:rsidRPr="008768A2" w:rsidRDefault="00352B58" w:rsidP="00352B58">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While research faculty primarily focus on research and its application, there is some flexibility in the balance among scholarship, teaching, and service within this track. Research faculty members’ </w:t>
      </w:r>
      <w:r w:rsidR="009D7EF2" w:rsidRPr="008768A2">
        <w:rPr>
          <w:rFonts w:ascii="Times New Roman" w:hAnsi="Times New Roman" w:cs="Times New Roman"/>
          <w:color w:val="000000" w:themeColor="text1"/>
          <w:sz w:val="24"/>
          <w:szCs w:val="24"/>
        </w:rPr>
        <w:t xml:space="preserve">ranks, position statements, and/or annual workload assignments </w:t>
      </w:r>
      <w:r w:rsidRPr="008768A2">
        <w:rPr>
          <w:rFonts w:ascii="Times New Roman" w:hAnsi="Times New Roman" w:cs="Times New Roman"/>
          <w:color w:val="000000" w:themeColor="text1"/>
          <w:sz w:val="24"/>
          <w:szCs w:val="24"/>
        </w:rPr>
        <w:t xml:space="preserve">should inform </w:t>
      </w:r>
      <w:proofErr w:type="gramStart"/>
      <w:r w:rsidR="00C145F1" w:rsidRPr="008768A2">
        <w:rPr>
          <w:rFonts w:ascii="Times New Roman" w:hAnsi="Times New Roman" w:cs="Times New Roman"/>
          <w:color w:val="000000" w:themeColor="text1"/>
          <w:sz w:val="24"/>
          <w:szCs w:val="24"/>
        </w:rPr>
        <w:t>each individual</w:t>
      </w:r>
      <w:r w:rsidR="00435651" w:rsidRPr="008768A2">
        <w:rPr>
          <w:rFonts w:ascii="Times New Roman" w:hAnsi="Times New Roman" w:cs="Times New Roman"/>
          <w:color w:val="000000" w:themeColor="text1"/>
          <w:sz w:val="24"/>
          <w:szCs w:val="24"/>
        </w:rPr>
        <w:t>’s</w:t>
      </w:r>
      <w:proofErr w:type="gramEnd"/>
      <w:r w:rsidR="00C145F1"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candida</w:t>
      </w:r>
      <w:r w:rsidR="00C145F1" w:rsidRPr="008768A2">
        <w:rPr>
          <w:rFonts w:ascii="Times New Roman" w:hAnsi="Times New Roman" w:cs="Times New Roman"/>
          <w:color w:val="000000" w:themeColor="text1"/>
          <w:sz w:val="24"/>
          <w:szCs w:val="24"/>
        </w:rPr>
        <w:t>cy</w:t>
      </w:r>
      <w:r w:rsidRPr="008768A2">
        <w:rPr>
          <w:rFonts w:ascii="Times New Roman" w:hAnsi="Times New Roman" w:cs="Times New Roman"/>
          <w:color w:val="000000" w:themeColor="text1"/>
          <w:sz w:val="24"/>
          <w:szCs w:val="24"/>
        </w:rPr>
        <w:t xml:space="preserve"> for promotion. </w:t>
      </w:r>
    </w:p>
    <w:p w14:paraId="233396F4"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368BFACD" w14:textId="1371A955" w:rsidR="00352B58" w:rsidRPr="008768A2" w:rsidRDefault="00352B58"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Accordingly, g</w:t>
      </w:r>
      <w:r w:rsidR="00B23F89" w:rsidRPr="008768A2">
        <w:rPr>
          <w:rFonts w:ascii="Times New Roman" w:hAnsi="Times New Roman" w:cs="Times New Roman"/>
          <w:color w:val="000000" w:themeColor="text1"/>
          <w:sz w:val="24"/>
          <w:szCs w:val="24"/>
        </w:rPr>
        <w:t>iven the broad range of foci, responsibilities, and expectations associated with research faculty, specific criteria for promotion will be case-dependent. Evaluation should include the relevant criteria and reflect the</w:t>
      </w:r>
      <w:r w:rsidRPr="008768A2">
        <w:rPr>
          <w:rFonts w:ascii="Times New Roman" w:hAnsi="Times New Roman" w:cs="Times New Roman"/>
          <w:color w:val="000000" w:themeColor="text1"/>
          <w:sz w:val="24"/>
          <w:szCs w:val="24"/>
        </w:rPr>
        <w:t>ir</w:t>
      </w:r>
      <w:r w:rsidR="00B23F89" w:rsidRPr="008768A2">
        <w:rPr>
          <w:rFonts w:ascii="Times New Roman" w:hAnsi="Times New Roman" w:cs="Times New Roman"/>
          <w:color w:val="000000" w:themeColor="text1"/>
          <w:sz w:val="24"/>
          <w:szCs w:val="24"/>
        </w:rPr>
        <w:t xml:space="preserve"> effort in scholarship and research, teaching</w:t>
      </w:r>
      <w:r w:rsidRPr="008768A2">
        <w:rPr>
          <w:rFonts w:ascii="Times New Roman" w:hAnsi="Times New Roman" w:cs="Times New Roman"/>
          <w:color w:val="000000" w:themeColor="text1"/>
          <w:sz w:val="24"/>
          <w:szCs w:val="24"/>
        </w:rPr>
        <w:t xml:space="preserve"> (if applicable)</w:t>
      </w:r>
      <w:r w:rsidR="00B23F89" w:rsidRPr="008768A2">
        <w:rPr>
          <w:rFonts w:ascii="Times New Roman" w:hAnsi="Times New Roman" w:cs="Times New Roman"/>
          <w:color w:val="000000" w:themeColor="text1"/>
          <w:sz w:val="24"/>
          <w:szCs w:val="24"/>
        </w:rPr>
        <w:t xml:space="preserve">, and service </w:t>
      </w:r>
      <w:r w:rsidRPr="008768A2">
        <w:rPr>
          <w:rFonts w:ascii="Times New Roman" w:hAnsi="Times New Roman" w:cs="Times New Roman"/>
          <w:color w:val="000000" w:themeColor="text1"/>
          <w:sz w:val="24"/>
          <w:szCs w:val="24"/>
        </w:rPr>
        <w:t xml:space="preserve">(if applicable), again, </w:t>
      </w:r>
      <w:r w:rsidR="00B23F89" w:rsidRPr="008768A2">
        <w:rPr>
          <w:rFonts w:ascii="Times New Roman" w:hAnsi="Times New Roman" w:cs="Times New Roman"/>
          <w:color w:val="000000" w:themeColor="text1"/>
          <w:sz w:val="24"/>
          <w:szCs w:val="24"/>
        </w:rPr>
        <w:t xml:space="preserve">as outlined </w:t>
      </w:r>
      <w:r w:rsidRPr="008768A2">
        <w:rPr>
          <w:rFonts w:ascii="Times New Roman" w:hAnsi="Times New Roman" w:cs="Times New Roman"/>
          <w:color w:val="000000" w:themeColor="text1"/>
          <w:sz w:val="24"/>
          <w:szCs w:val="24"/>
        </w:rPr>
        <w:t>by</w:t>
      </w:r>
      <w:r w:rsidR="00B23F89" w:rsidRPr="008768A2">
        <w:rPr>
          <w:rFonts w:ascii="Times New Roman" w:hAnsi="Times New Roman" w:cs="Times New Roman"/>
          <w:color w:val="000000" w:themeColor="text1"/>
          <w:sz w:val="24"/>
          <w:szCs w:val="24"/>
        </w:rPr>
        <w:t xml:space="preserve"> the research faculty members</w:t>
      </w:r>
      <w:r w:rsidRPr="008768A2">
        <w:rPr>
          <w:rFonts w:ascii="Times New Roman" w:hAnsi="Times New Roman" w:cs="Times New Roman"/>
          <w:color w:val="000000" w:themeColor="text1"/>
          <w:sz w:val="24"/>
          <w:szCs w:val="24"/>
        </w:rPr>
        <w:t>’</w:t>
      </w:r>
      <w:r w:rsidR="00B23F89" w:rsidRPr="008768A2">
        <w:rPr>
          <w:rFonts w:ascii="Times New Roman" w:hAnsi="Times New Roman" w:cs="Times New Roman"/>
          <w:color w:val="000000" w:themeColor="text1"/>
          <w:sz w:val="24"/>
          <w:szCs w:val="24"/>
        </w:rPr>
        <w:t xml:space="preserve"> </w:t>
      </w:r>
      <w:r w:rsidR="009D7EF2" w:rsidRPr="008768A2">
        <w:rPr>
          <w:rFonts w:ascii="Times New Roman" w:hAnsi="Times New Roman" w:cs="Times New Roman"/>
          <w:color w:val="000000" w:themeColor="text1"/>
          <w:sz w:val="24"/>
          <w:szCs w:val="24"/>
        </w:rPr>
        <w:t>ranks, position statements, and/or annual workload assignments.</w:t>
      </w:r>
    </w:p>
    <w:p w14:paraId="20631036" w14:textId="77777777" w:rsidR="009D7EF2" w:rsidRPr="008768A2" w:rsidRDefault="009D7EF2" w:rsidP="00B23F89">
      <w:pPr>
        <w:spacing w:line="240" w:lineRule="auto"/>
        <w:ind w:left="1440" w:right="1440"/>
        <w:rPr>
          <w:rFonts w:ascii="Times New Roman" w:hAnsi="Times New Roman" w:cs="Times New Roman"/>
          <w:color w:val="000000" w:themeColor="text1"/>
          <w:sz w:val="24"/>
          <w:szCs w:val="24"/>
        </w:rPr>
      </w:pPr>
    </w:p>
    <w:p w14:paraId="2D52EA4E" w14:textId="7658C613"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In general, research faculty will be considered for promotion to the ranks of research associate professor or research professor using criteria for scholarship </w:t>
      </w:r>
      <w:proofErr w:type="gramStart"/>
      <w:r w:rsidR="00352B58" w:rsidRPr="008768A2">
        <w:rPr>
          <w:rFonts w:ascii="Times New Roman" w:hAnsi="Times New Roman" w:cs="Times New Roman"/>
          <w:color w:val="000000" w:themeColor="text1"/>
          <w:sz w:val="24"/>
          <w:szCs w:val="24"/>
        </w:rPr>
        <w:t>similar to</w:t>
      </w:r>
      <w:proofErr w:type="gramEnd"/>
      <w:r w:rsidRPr="008768A2">
        <w:rPr>
          <w:rFonts w:ascii="Times New Roman" w:hAnsi="Times New Roman" w:cs="Times New Roman"/>
          <w:color w:val="000000" w:themeColor="text1"/>
          <w:sz w:val="24"/>
          <w:szCs w:val="24"/>
        </w:rPr>
        <w:t xml:space="preserve"> those used for evaluating the research record</w:t>
      </w:r>
      <w:r w:rsidR="00352B58" w:rsidRPr="008768A2">
        <w:rPr>
          <w:rFonts w:ascii="Times New Roman" w:hAnsi="Times New Roman" w:cs="Times New Roman"/>
          <w:color w:val="000000" w:themeColor="text1"/>
          <w:sz w:val="24"/>
          <w:szCs w:val="24"/>
        </w:rPr>
        <w:t>s of</w:t>
      </w:r>
      <w:r w:rsidRPr="008768A2">
        <w:rPr>
          <w:rFonts w:ascii="Times New Roman" w:hAnsi="Times New Roman" w:cs="Times New Roman"/>
          <w:color w:val="000000" w:themeColor="text1"/>
          <w:sz w:val="24"/>
          <w:szCs w:val="24"/>
        </w:rPr>
        <w:t xml:space="preserve"> </w:t>
      </w:r>
      <w:r w:rsidR="00352B58" w:rsidRPr="008768A2">
        <w:rPr>
          <w:rFonts w:ascii="Times New Roman" w:hAnsi="Times New Roman" w:cs="Times New Roman"/>
          <w:color w:val="000000" w:themeColor="text1"/>
          <w:sz w:val="24"/>
          <w:szCs w:val="24"/>
        </w:rPr>
        <w:t>TTE</w:t>
      </w:r>
      <w:r w:rsidRPr="008768A2">
        <w:rPr>
          <w:rFonts w:ascii="Times New Roman" w:hAnsi="Times New Roman" w:cs="Times New Roman"/>
          <w:color w:val="000000" w:themeColor="text1"/>
          <w:sz w:val="24"/>
          <w:szCs w:val="24"/>
        </w:rPr>
        <w:t xml:space="preserve"> faculty seeking promotion</w:t>
      </w:r>
      <w:r w:rsidR="00352B58" w:rsidRPr="008768A2">
        <w:rPr>
          <w:rFonts w:ascii="Times New Roman" w:hAnsi="Times New Roman" w:cs="Times New Roman"/>
          <w:color w:val="000000" w:themeColor="text1"/>
          <w:sz w:val="24"/>
          <w:szCs w:val="24"/>
        </w:rPr>
        <w:t xml:space="preserve"> at similar ranks</w:t>
      </w:r>
      <w:r w:rsidRPr="008768A2">
        <w:rPr>
          <w:rFonts w:ascii="Times New Roman" w:hAnsi="Times New Roman" w:cs="Times New Roman"/>
          <w:color w:val="000000" w:themeColor="text1"/>
          <w:sz w:val="24"/>
          <w:szCs w:val="24"/>
        </w:rPr>
        <w:t xml:space="preserve">. These criteria are described in the </w:t>
      </w:r>
      <w:r w:rsidR="00B10109" w:rsidRPr="008768A2">
        <w:rPr>
          <w:rFonts w:ascii="Times New Roman" w:hAnsi="Times New Roman" w:cs="Times New Roman"/>
          <w:color w:val="000000" w:themeColor="text1"/>
          <w:sz w:val="24"/>
          <w:szCs w:val="24"/>
        </w:rPr>
        <w:t xml:space="preserve">MLFTC SoAs </w:t>
      </w:r>
      <w:r w:rsidRPr="008768A2">
        <w:rPr>
          <w:rFonts w:ascii="Times New Roman" w:hAnsi="Times New Roman" w:cs="Times New Roman"/>
          <w:color w:val="000000" w:themeColor="text1"/>
          <w:sz w:val="24"/>
          <w:szCs w:val="24"/>
        </w:rPr>
        <w:t>– Section 2.2.1.</w:t>
      </w:r>
      <w:r w:rsidR="00B10109" w:rsidRPr="008768A2">
        <w:rPr>
          <w:rFonts w:ascii="Times New Roman" w:hAnsi="Times New Roman" w:cs="Times New Roman"/>
          <w:color w:val="000000" w:themeColor="text1"/>
          <w:sz w:val="24"/>
          <w:szCs w:val="24"/>
        </w:rPr>
        <w:t xml:space="preserve"> </w:t>
      </w:r>
      <w:r w:rsidR="009D7EF2" w:rsidRPr="008768A2">
        <w:rPr>
          <w:rFonts w:ascii="Times New Roman" w:hAnsi="Times New Roman" w:cs="Times New Roman"/>
          <w:color w:val="000000" w:themeColor="text1"/>
          <w:sz w:val="24"/>
          <w:szCs w:val="24"/>
        </w:rPr>
        <w:t xml:space="preserve">See also below. </w:t>
      </w:r>
      <w:r w:rsidRPr="008768A2">
        <w:rPr>
          <w:rFonts w:ascii="Times New Roman" w:hAnsi="Times New Roman" w:cs="Times New Roman"/>
          <w:color w:val="000000" w:themeColor="text1"/>
          <w:sz w:val="24"/>
          <w:szCs w:val="24"/>
        </w:rPr>
        <w:t xml:space="preserve">If a research faculty member’s appointment includes teaching and/or service, the same criteria for evaluating the quality of </w:t>
      </w:r>
      <w:r w:rsidR="00B10109" w:rsidRPr="008768A2">
        <w:rPr>
          <w:rFonts w:ascii="Times New Roman" w:hAnsi="Times New Roman" w:cs="Times New Roman"/>
          <w:color w:val="000000" w:themeColor="text1"/>
          <w:sz w:val="24"/>
          <w:szCs w:val="24"/>
        </w:rPr>
        <w:t>TTE</w:t>
      </w:r>
      <w:r w:rsidRPr="008768A2">
        <w:rPr>
          <w:rFonts w:ascii="Times New Roman" w:hAnsi="Times New Roman" w:cs="Times New Roman"/>
          <w:color w:val="000000" w:themeColor="text1"/>
          <w:sz w:val="24"/>
          <w:szCs w:val="24"/>
        </w:rPr>
        <w:t xml:space="preserve"> faculty teaching and service will apply. These criteria are described in the MLFTC SoAs – Sections 2.2.2 and 2.2.3, respectively.</w:t>
      </w:r>
      <w:r w:rsidR="00352B58" w:rsidRPr="008768A2">
        <w:rPr>
          <w:rFonts w:ascii="Times New Roman" w:hAnsi="Times New Roman" w:cs="Times New Roman"/>
          <w:color w:val="000000" w:themeColor="text1"/>
          <w:sz w:val="24"/>
          <w:szCs w:val="24"/>
        </w:rPr>
        <w:t xml:space="preserve"> See also below.</w:t>
      </w:r>
    </w:p>
    <w:p w14:paraId="60F3709A"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56FCD208" w14:textId="48E5ED8A" w:rsidR="00B23F89" w:rsidRPr="008768A2" w:rsidRDefault="00F33D52" w:rsidP="00B23F89">
      <w:pPr>
        <w:spacing w:line="240" w:lineRule="auto"/>
        <w:ind w:left="1440" w:right="1440"/>
        <w:rPr>
          <w:rFonts w:ascii="Times New Roman" w:hAnsi="Times New Roman" w:cs="Times New Roman"/>
          <w:b/>
          <w:bCs/>
          <w:color w:val="000000" w:themeColor="text1"/>
          <w:sz w:val="24"/>
          <w:szCs w:val="24"/>
        </w:rPr>
      </w:pPr>
      <w:r w:rsidRPr="008768A2">
        <w:rPr>
          <w:rFonts w:ascii="Times New Roman" w:hAnsi="Times New Roman" w:cs="Times New Roman"/>
          <w:b/>
          <w:bCs/>
          <w:color w:val="000000" w:themeColor="text1"/>
          <w:sz w:val="24"/>
          <w:szCs w:val="24"/>
        </w:rPr>
        <w:t xml:space="preserve">5.1.2.1 </w:t>
      </w:r>
      <w:r w:rsidR="00B23F89" w:rsidRPr="008768A2">
        <w:rPr>
          <w:rFonts w:ascii="Times New Roman" w:hAnsi="Times New Roman" w:cs="Times New Roman"/>
          <w:b/>
          <w:bCs/>
          <w:color w:val="000000" w:themeColor="text1"/>
          <w:sz w:val="24"/>
          <w:szCs w:val="24"/>
        </w:rPr>
        <w:t>Criteria for Promotion to the Rank of Research Associate Professor</w:t>
      </w:r>
    </w:p>
    <w:p w14:paraId="3C124FDA" w14:textId="77777777" w:rsidR="00B23F89" w:rsidRPr="008768A2" w:rsidRDefault="00B23F89" w:rsidP="00B23F89">
      <w:pPr>
        <w:spacing w:line="240" w:lineRule="auto"/>
        <w:ind w:left="1440" w:right="1440"/>
        <w:rPr>
          <w:rFonts w:ascii="Times New Roman" w:hAnsi="Times New Roman" w:cs="Times New Roman"/>
          <w:b/>
          <w:bCs/>
          <w:color w:val="000000" w:themeColor="text1"/>
          <w:sz w:val="24"/>
          <w:szCs w:val="24"/>
        </w:rPr>
      </w:pPr>
    </w:p>
    <w:p w14:paraId="258E3AF5" w14:textId="255B9BE6" w:rsidR="00B23F89" w:rsidRPr="00B23F89" w:rsidRDefault="00B23F89" w:rsidP="00B23F89">
      <w:pPr>
        <w:spacing w:line="240" w:lineRule="auto"/>
        <w:ind w:left="1440" w:right="1440"/>
        <w:rPr>
          <w:rFonts w:ascii="Times New Roman" w:hAnsi="Times New Roman" w:cs="Times New Roman"/>
          <w:sz w:val="24"/>
          <w:szCs w:val="24"/>
        </w:rPr>
      </w:pPr>
      <w:r w:rsidRPr="008768A2">
        <w:rPr>
          <w:rFonts w:ascii="Times New Roman" w:hAnsi="Times New Roman" w:cs="Times New Roman"/>
          <w:color w:val="000000" w:themeColor="text1"/>
          <w:sz w:val="24"/>
          <w:szCs w:val="24"/>
        </w:rPr>
        <w:t>It is expected that research assistant professors who seek promotion to the rank of research associate professor will have a minimum of five years in rank at ASU</w:t>
      </w:r>
      <w:r w:rsidR="00B87F99" w:rsidRPr="008768A2">
        <w:rPr>
          <w:rFonts w:ascii="Times New Roman" w:hAnsi="Times New Roman" w:cs="Times New Roman"/>
          <w:color w:val="000000" w:themeColor="text1"/>
          <w:sz w:val="24"/>
          <w:szCs w:val="24"/>
        </w:rPr>
        <w:t xml:space="preserve"> before they apply</w:t>
      </w:r>
      <w:r w:rsidRPr="008768A2">
        <w:rPr>
          <w:rFonts w:ascii="Times New Roman" w:hAnsi="Times New Roman" w:cs="Times New Roman"/>
          <w:color w:val="000000" w:themeColor="text1"/>
          <w:sz w:val="24"/>
          <w:szCs w:val="24"/>
        </w:rPr>
        <w:t>. A case for promotion</w:t>
      </w:r>
      <w:r w:rsidR="00B87F99"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should demonstrate how the candidate has significantly and substantially enhanced the research mission of MLFTC</w:t>
      </w:r>
      <w:r w:rsidR="00F33D52" w:rsidRPr="008768A2">
        <w:rPr>
          <w:rFonts w:ascii="Times New Roman" w:hAnsi="Times New Roman" w:cs="Times New Roman"/>
          <w:color w:val="000000" w:themeColor="text1"/>
          <w:sz w:val="24"/>
          <w:szCs w:val="24"/>
        </w:rPr>
        <w:t xml:space="preserve"> using the criteria for scholarship described in SoA Section 2.2.1, as well as teaching and service (</w:t>
      </w:r>
      <w:r w:rsidR="00B10109" w:rsidRPr="008768A2">
        <w:rPr>
          <w:rFonts w:ascii="Times New Roman" w:hAnsi="Times New Roman" w:cs="Times New Roman"/>
          <w:color w:val="000000" w:themeColor="text1"/>
          <w:sz w:val="24"/>
          <w:szCs w:val="24"/>
        </w:rPr>
        <w:t xml:space="preserve">again, </w:t>
      </w:r>
      <w:r w:rsidR="00F33D52" w:rsidRPr="008768A2">
        <w:rPr>
          <w:rFonts w:ascii="Times New Roman" w:hAnsi="Times New Roman" w:cs="Times New Roman"/>
          <w:color w:val="000000" w:themeColor="text1"/>
          <w:sz w:val="24"/>
          <w:szCs w:val="24"/>
        </w:rPr>
        <w:t>if applicable) described in SoA Sections 2.2.2 and 2.2.3.</w:t>
      </w:r>
      <w:r w:rsidRPr="008768A2">
        <w:rPr>
          <w:rFonts w:ascii="Times New Roman" w:hAnsi="Times New Roman" w:cs="Times New Roman"/>
          <w:color w:val="000000" w:themeColor="text1"/>
          <w:sz w:val="24"/>
          <w:szCs w:val="24"/>
        </w:rPr>
        <w:t xml:space="preserve"> Candidates should </w:t>
      </w:r>
      <w:r w:rsidR="00F33D52" w:rsidRPr="008768A2">
        <w:rPr>
          <w:rFonts w:ascii="Times New Roman" w:hAnsi="Times New Roman" w:cs="Times New Roman"/>
          <w:color w:val="000000" w:themeColor="text1"/>
          <w:sz w:val="24"/>
          <w:szCs w:val="24"/>
        </w:rPr>
        <w:t xml:space="preserve">also </w:t>
      </w:r>
      <w:r w:rsidRPr="008768A2">
        <w:rPr>
          <w:rFonts w:ascii="Times New Roman" w:hAnsi="Times New Roman" w:cs="Times New Roman"/>
          <w:color w:val="000000" w:themeColor="text1"/>
          <w:sz w:val="24"/>
          <w:szCs w:val="24"/>
        </w:rPr>
        <w:t>provide explicit evidence of how their work aligns with and advances</w:t>
      </w:r>
      <w:r w:rsidRPr="000C3FED">
        <w:rPr>
          <w:rFonts w:ascii="Times New Roman" w:hAnsi="Times New Roman" w:cs="Times New Roman"/>
          <w:color w:val="76923C" w:themeColor="accent3" w:themeShade="BF"/>
          <w:sz w:val="24"/>
          <w:szCs w:val="24"/>
        </w:rPr>
        <w:t xml:space="preserve"> </w:t>
      </w:r>
      <w:hyperlink r:id="rId78" w:anchor=":~:text=ASU%20is%20a%20comprehensive%20public,of%20the%20communities%20it%20serves" w:history="1">
        <w:r w:rsidRPr="00B23F89">
          <w:rPr>
            <w:rStyle w:val="Hyperlink"/>
            <w:rFonts w:ascii="Times New Roman" w:hAnsi="Times New Roman" w:cs="Times New Roman"/>
            <w:sz w:val="24"/>
            <w:szCs w:val="24"/>
          </w:rPr>
          <w:t>ASU’s Charter</w:t>
        </w:r>
      </w:hyperlink>
      <w:r w:rsidRPr="00B23F89">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and </w:t>
      </w:r>
      <w:hyperlink r:id="rId79" w:history="1">
        <w:r w:rsidRPr="00B23F89">
          <w:rPr>
            <w:rStyle w:val="Hyperlink"/>
            <w:rFonts w:ascii="Times New Roman" w:hAnsi="Times New Roman" w:cs="Times New Roman"/>
            <w:sz w:val="24"/>
            <w:szCs w:val="24"/>
          </w:rPr>
          <w:t>Design Aspirations</w:t>
        </w:r>
      </w:hyperlink>
      <w:r w:rsidRPr="00B23F89">
        <w:rPr>
          <w:rFonts w:ascii="Times New Roman" w:hAnsi="Times New Roman" w:cs="Times New Roman"/>
          <w:sz w:val="24"/>
          <w:szCs w:val="24"/>
        </w:rPr>
        <w:t>.</w:t>
      </w:r>
    </w:p>
    <w:p w14:paraId="5C789DE5" w14:textId="77777777" w:rsidR="00B23F89" w:rsidRPr="00B23F89" w:rsidRDefault="00B23F89" w:rsidP="00B23F89">
      <w:pPr>
        <w:spacing w:line="240" w:lineRule="auto"/>
        <w:ind w:left="1440" w:right="1440"/>
        <w:rPr>
          <w:rFonts w:ascii="Times New Roman" w:hAnsi="Times New Roman" w:cs="Times New Roman"/>
          <w:sz w:val="24"/>
          <w:szCs w:val="24"/>
        </w:rPr>
      </w:pPr>
    </w:p>
    <w:p w14:paraId="1A4E52AE" w14:textId="4C9A0C83"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For promotion from research assistant to research associate professor,</w:t>
      </w:r>
      <w:r w:rsidR="00B10109"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publications</w:t>
      </w:r>
      <w:r w:rsidR="00872091" w:rsidRPr="008768A2">
        <w:rPr>
          <w:rFonts w:ascii="Times New Roman" w:hAnsi="Times New Roman" w:cs="Times New Roman"/>
          <w:color w:val="000000" w:themeColor="text1"/>
          <w:sz w:val="24"/>
          <w:szCs w:val="24"/>
        </w:rPr>
        <w:t xml:space="preserve"> (preferably peer-reviewed)</w:t>
      </w:r>
      <w:r w:rsidRPr="008768A2">
        <w:rPr>
          <w:rFonts w:ascii="Times New Roman" w:hAnsi="Times New Roman" w:cs="Times New Roman"/>
          <w:color w:val="000000" w:themeColor="text1"/>
          <w:sz w:val="24"/>
          <w:szCs w:val="24"/>
        </w:rPr>
        <w:t xml:space="preserve"> and grants prior to joining MLFTC at ASU will be considered</w:t>
      </w:r>
      <w:r w:rsidR="00B10109"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but they will be given less weight than publications and grants awarded since joining MLFTC.  </w:t>
      </w:r>
    </w:p>
    <w:p w14:paraId="49C693AF"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79DEA2AF" w14:textId="25180244"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 candidate for promotion from research assistant to research associate professor should have or demonstrate: </w:t>
      </w:r>
    </w:p>
    <w:p w14:paraId="07EFAF3B" w14:textId="637255DE" w:rsidR="000D37A4" w:rsidRDefault="000D37A4">
      <w:pPr>
        <w:numPr>
          <w:ilvl w:val="0"/>
          <w:numId w:val="18"/>
        </w:numPr>
        <w:spacing w:line="240" w:lineRule="auto"/>
        <w:ind w:left="2160" w:righ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0D37A4">
        <w:rPr>
          <w:rFonts w:ascii="Times New Roman" w:hAnsi="Times New Roman" w:cs="Times New Roman"/>
          <w:color w:val="000000" w:themeColor="text1"/>
          <w:sz w:val="24"/>
          <w:szCs w:val="24"/>
        </w:rPr>
        <w:t>terminal degree (e.g., Ph.D., Ed.D.) in education or a related field appropriate to the position.</w:t>
      </w:r>
    </w:p>
    <w:p w14:paraId="6D141725" w14:textId="1032CD03" w:rsidR="00B23F89" w:rsidRPr="008768A2" w:rsidRDefault="00B23F89">
      <w:pPr>
        <w:numPr>
          <w:ilvl w:val="0"/>
          <w:numId w:val="18"/>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At least five </w:t>
      </w:r>
      <w:r w:rsidR="009D7EF2" w:rsidRPr="008768A2">
        <w:rPr>
          <w:rFonts w:ascii="Times New Roman" w:hAnsi="Times New Roman" w:cs="Times New Roman"/>
          <w:color w:val="000000" w:themeColor="text1"/>
          <w:sz w:val="24"/>
          <w:szCs w:val="24"/>
        </w:rPr>
        <w:t xml:space="preserve">calendar </w:t>
      </w:r>
      <w:r w:rsidRPr="008768A2">
        <w:rPr>
          <w:rFonts w:ascii="Times New Roman" w:hAnsi="Times New Roman" w:cs="Times New Roman"/>
          <w:color w:val="000000" w:themeColor="text1"/>
          <w:sz w:val="24"/>
          <w:szCs w:val="24"/>
        </w:rPr>
        <w:t>years of university-level research experience at the rank of research assistant professor</w:t>
      </w:r>
      <w:r w:rsidR="00A153D7" w:rsidRPr="008768A2">
        <w:rPr>
          <w:rFonts w:ascii="Times New Roman" w:hAnsi="Times New Roman" w:cs="Times New Roman"/>
          <w:color w:val="000000" w:themeColor="text1"/>
          <w:sz w:val="24"/>
          <w:szCs w:val="24"/>
        </w:rPr>
        <w:t xml:space="preserve">. In </w:t>
      </w:r>
      <w:r w:rsidR="00693D6F" w:rsidRPr="008768A2">
        <w:rPr>
          <w:rFonts w:ascii="Times New Roman" w:hAnsi="Times New Roman" w:cs="Times New Roman"/>
          <w:color w:val="000000" w:themeColor="text1"/>
          <w:sz w:val="24"/>
          <w:szCs w:val="24"/>
        </w:rPr>
        <w:t>a unique</w:t>
      </w:r>
      <w:r w:rsidR="00A153D7" w:rsidRPr="008768A2">
        <w:rPr>
          <w:rFonts w:ascii="Times New Roman" w:hAnsi="Times New Roman" w:cs="Times New Roman"/>
          <w:color w:val="000000" w:themeColor="text1"/>
          <w:sz w:val="24"/>
          <w:szCs w:val="24"/>
        </w:rPr>
        <w:t xml:space="preserve"> circumstance</w:t>
      </w:r>
      <w:r w:rsidR="00693D6F" w:rsidRPr="008768A2">
        <w:rPr>
          <w:rFonts w:ascii="Times New Roman" w:hAnsi="Times New Roman" w:cs="Times New Roman"/>
          <w:color w:val="000000" w:themeColor="text1"/>
          <w:sz w:val="24"/>
          <w:szCs w:val="24"/>
        </w:rPr>
        <w:t>,</w:t>
      </w:r>
      <w:r w:rsidR="00A153D7" w:rsidRPr="008768A2">
        <w:rPr>
          <w:rFonts w:ascii="Times New Roman" w:hAnsi="Times New Roman" w:cs="Times New Roman"/>
          <w:color w:val="000000" w:themeColor="text1"/>
          <w:sz w:val="24"/>
          <w:szCs w:val="24"/>
        </w:rPr>
        <w:t xml:space="preserve"> where a candidate and their vice dean believe there is compelling evidence to warrant promotion from clinical assistant to clinical associate professor in fewer than five calendar years, the ASU provost may consider such a request. This evidence must demonstrate prior experiences equivalent to five years of exceptional teaching and service at the assistant clinical professor rank. If </w:t>
      </w:r>
      <w:r w:rsidR="00A153D7" w:rsidRPr="008768A2">
        <w:rPr>
          <w:rFonts w:ascii="Times New Roman" w:hAnsi="Times New Roman" w:cs="Times New Roman"/>
          <w:color w:val="000000" w:themeColor="text1"/>
          <w:sz w:val="24"/>
          <w:szCs w:val="24"/>
        </w:rPr>
        <w:lastRenderedPageBreak/>
        <w:t>such a case is presented, it must be clearly articulated to all participants in the review process, including internal reviewers and the CT PEC, before reviewing the candidate’s dossier for promotion.</w:t>
      </w:r>
    </w:p>
    <w:p w14:paraId="36C8E525" w14:textId="16E837D4" w:rsidR="00B23F89" w:rsidRPr="008768A2" w:rsidRDefault="00B23F89" w:rsidP="00413B90">
      <w:pPr>
        <w:numPr>
          <w:ilvl w:val="0"/>
          <w:numId w:val="18"/>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An active, sustained, and reasonably focused </w:t>
      </w:r>
      <w:r w:rsidR="0021741B" w:rsidRPr="008768A2">
        <w:rPr>
          <w:rFonts w:ascii="Times New Roman" w:hAnsi="Times New Roman" w:cs="Times New Roman"/>
          <w:color w:val="000000" w:themeColor="text1"/>
          <w:sz w:val="24"/>
          <w:szCs w:val="24"/>
        </w:rPr>
        <w:t xml:space="preserve">record of scholarship and funded research projects that </w:t>
      </w:r>
      <w:r w:rsidR="00CA569C" w:rsidRPr="008768A2">
        <w:rPr>
          <w:rFonts w:ascii="Times New Roman" w:hAnsi="Times New Roman" w:cs="Times New Roman"/>
          <w:color w:val="000000" w:themeColor="text1"/>
          <w:sz w:val="24"/>
          <w:szCs w:val="24"/>
        </w:rPr>
        <w:t xml:space="preserve">demonstrate excellence and influence on </w:t>
      </w:r>
      <w:r w:rsidR="0021741B" w:rsidRPr="008768A2">
        <w:rPr>
          <w:rFonts w:ascii="Times New Roman" w:hAnsi="Times New Roman" w:cs="Times New Roman"/>
          <w:color w:val="000000" w:themeColor="text1"/>
          <w:sz w:val="24"/>
          <w:szCs w:val="24"/>
        </w:rPr>
        <w:t>the field and that have made a significant contribution to knowledge in the candidate’s area(s) of expertise (see also SoA 2.2.1)</w:t>
      </w:r>
      <w:r w:rsidR="00556775" w:rsidRPr="008768A2">
        <w:rPr>
          <w:rFonts w:ascii="Times New Roman" w:hAnsi="Times New Roman" w:cs="Times New Roman"/>
          <w:color w:val="000000" w:themeColor="text1"/>
          <w:sz w:val="24"/>
          <w:szCs w:val="24"/>
        </w:rPr>
        <w:t>.</w:t>
      </w:r>
    </w:p>
    <w:p w14:paraId="540B9C46" w14:textId="3D2A32B6" w:rsidR="00B23F89" w:rsidRPr="008768A2" w:rsidRDefault="00B23F89">
      <w:pPr>
        <w:numPr>
          <w:ilvl w:val="0"/>
          <w:numId w:val="18"/>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Evidence of academic excellence and impact, such as citations of (preferably peer-reviewed) published work, invited talks and workshops, the ability to secure internal and external funding, awards from professional associations, and other forms of peer and public-acknowledged excellence at the local and national level</w:t>
      </w:r>
      <w:r w:rsidR="00B10109" w:rsidRPr="008768A2">
        <w:rPr>
          <w:rFonts w:ascii="Times New Roman" w:hAnsi="Times New Roman" w:cs="Times New Roman"/>
          <w:color w:val="000000" w:themeColor="text1"/>
          <w:sz w:val="24"/>
          <w:szCs w:val="24"/>
        </w:rPr>
        <w:t xml:space="preserve"> (see also SoA 2.2.1)</w:t>
      </w:r>
      <w:r w:rsidR="00556775" w:rsidRPr="008768A2">
        <w:rPr>
          <w:rFonts w:ascii="Times New Roman" w:hAnsi="Times New Roman" w:cs="Times New Roman"/>
          <w:color w:val="000000" w:themeColor="text1"/>
          <w:sz w:val="24"/>
          <w:szCs w:val="24"/>
        </w:rPr>
        <w:t>.</w:t>
      </w:r>
    </w:p>
    <w:p w14:paraId="5C770F7B" w14:textId="4D52B351" w:rsidR="00B23F89" w:rsidRPr="008768A2" w:rsidRDefault="00B23F89">
      <w:pPr>
        <w:numPr>
          <w:ilvl w:val="0"/>
          <w:numId w:val="18"/>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If teaching is part of the faculty member’s appointment, a record of effective contributions to teaching, such as high-quality formal course instruction and student mentoring, involvement in course/curriculum development, and broader support of the MLFTC’s teaching mission</w:t>
      </w:r>
      <w:r w:rsidR="00B10109" w:rsidRPr="008768A2">
        <w:rPr>
          <w:rFonts w:ascii="Times New Roman" w:hAnsi="Times New Roman" w:cs="Times New Roman"/>
          <w:color w:val="000000" w:themeColor="text1"/>
          <w:sz w:val="24"/>
          <w:szCs w:val="24"/>
        </w:rPr>
        <w:t xml:space="preserve"> (see also SoA 2.2.2)</w:t>
      </w:r>
      <w:r w:rsidR="00556775" w:rsidRPr="008768A2">
        <w:rPr>
          <w:rFonts w:ascii="Times New Roman" w:hAnsi="Times New Roman" w:cs="Times New Roman"/>
          <w:color w:val="000000" w:themeColor="text1"/>
          <w:sz w:val="24"/>
          <w:szCs w:val="24"/>
        </w:rPr>
        <w:t>.</w:t>
      </w:r>
    </w:p>
    <w:p w14:paraId="5E99CAA8" w14:textId="4E13167E" w:rsidR="00B23F89" w:rsidRPr="008768A2" w:rsidRDefault="00B23F89">
      <w:pPr>
        <w:numPr>
          <w:ilvl w:val="0"/>
          <w:numId w:val="18"/>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If service is part of the faculty member’s appointment, a record of involvement in institutional, professional, and community service with evidence of impact and high-quality outcomes. Service may include such activities as membership on academic unit committees, roles in shared governance, contributions to campus committees, and/or similar activities within professional organizations. Service may also include community activities that draw upon professional expertise or subject knowledge and/or advance ASU by meeting the needs of the greater public</w:t>
      </w:r>
      <w:r w:rsidR="00B10109" w:rsidRPr="008768A2">
        <w:rPr>
          <w:rFonts w:ascii="Times New Roman" w:hAnsi="Times New Roman" w:cs="Times New Roman"/>
          <w:color w:val="000000" w:themeColor="text1"/>
          <w:sz w:val="24"/>
          <w:szCs w:val="24"/>
        </w:rPr>
        <w:t xml:space="preserve"> (see also SoA 2.2.3)</w:t>
      </w:r>
      <w:r w:rsidR="00556775" w:rsidRPr="008768A2">
        <w:rPr>
          <w:rFonts w:ascii="Times New Roman" w:hAnsi="Times New Roman" w:cs="Times New Roman"/>
          <w:color w:val="000000" w:themeColor="text1"/>
          <w:sz w:val="24"/>
          <w:szCs w:val="24"/>
        </w:rPr>
        <w:t>.</w:t>
      </w:r>
    </w:p>
    <w:p w14:paraId="4D007B3A"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26844500" w14:textId="37D69FD9" w:rsidR="00B23F89" w:rsidRPr="008768A2" w:rsidRDefault="00F33D52" w:rsidP="00B23F89">
      <w:pPr>
        <w:spacing w:line="240" w:lineRule="auto"/>
        <w:ind w:left="1440" w:right="1440"/>
        <w:rPr>
          <w:rFonts w:ascii="Times New Roman" w:hAnsi="Times New Roman" w:cs="Times New Roman"/>
          <w:b/>
          <w:bCs/>
          <w:color w:val="000000" w:themeColor="text1"/>
          <w:sz w:val="24"/>
          <w:szCs w:val="24"/>
        </w:rPr>
      </w:pPr>
      <w:r w:rsidRPr="008768A2">
        <w:rPr>
          <w:rFonts w:ascii="Times New Roman" w:hAnsi="Times New Roman" w:cs="Times New Roman"/>
          <w:b/>
          <w:bCs/>
          <w:color w:val="000000" w:themeColor="text1"/>
          <w:sz w:val="24"/>
          <w:szCs w:val="24"/>
        </w:rPr>
        <w:t>5.1.2.</w:t>
      </w:r>
      <w:r w:rsidR="007F32C2" w:rsidRPr="008768A2">
        <w:rPr>
          <w:rFonts w:ascii="Times New Roman" w:hAnsi="Times New Roman" w:cs="Times New Roman"/>
          <w:b/>
          <w:bCs/>
          <w:color w:val="000000" w:themeColor="text1"/>
          <w:sz w:val="24"/>
          <w:szCs w:val="24"/>
        </w:rPr>
        <w:t>2</w:t>
      </w:r>
      <w:r w:rsidRPr="008768A2">
        <w:rPr>
          <w:rFonts w:ascii="Times New Roman" w:hAnsi="Times New Roman" w:cs="Times New Roman"/>
          <w:b/>
          <w:bCs/>
          <w:color w:val="000000" w:themeColor="text1"/>
          <w:sz w:val="24"/>
          <w:szCs w:val="24"/>
        </w:rPr>
        <w:t xml:space="preserve"> </w:t>
      </w:r>
      <w:r w:rsidR="00B23F89" w:rsidRPr="008768A2">
        <w:rPr>
          <w:rFonts w:ascii="Times New Roman" w:hAnsi="Times New Roman" w:cs="Times New Roman"/>
          <w:b/>
          <w:bCs/>
          <w:color w:val="000000" w:themeColor="text1"/>
          <w:sz w:val="24"/>
          <w:szCs w:val="24"/>
        </w:rPr>
        <w:t>Criteria for Promotion to the Rank of Research Full Professor</w:t>
      </w:r>
    </w:p>
    <w:p w14:paraId="3B57DE2D"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34F341A2" w14:textId="6C578A6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The term "full" is not usually stated but is used to designate the highest rank of a research faculty title. For promotion to the highest rank of research full professor</w:t>
      </w:r>
      <w:r w:rsidR="00872091" w:rsidRPr="008768A2">
        <w:rPr>
          <w:rFonts w:ascii="Times New Roman" w:hAnsi="Times New Roman" w:cs="Times New Roman"/>
          <w:color w:val="000000" w:themeColor="text1"/>
          <w:sz w:val="24"/>
          <w:szCs w:val="24"/>
        </w:rPr>
        <w:t xml:space="preserve"> (i.e., research professor)</w:t>
      </w:r>
      <w:r w:rsidRPr="008768A2">
        <w:rPr>
          <w:rFonts w:ascii="Times New Roman" w:hAnsi="Times New Roman" w:cs="Times New Roman"/>
          <w:color w:val="000000" w:themeColor="text1"/>
          <w:sz w:val="24"/>
          <w:szCs w:val="24"/>
        </w:rPr>
        <w:t xml:space="preserve">, candidates must demonstrate a substantial and sustained record of significant contributions to scholarship as per the MLFTC’s SoAs and </w:t>
      </w:r>
      <w:hyperlink r:id="rId80" w:history="1">
        <w:r w:rsidRPr="00B23F89">
          <w:rPr>
            <w:rStyle w:val="Hyperlink"/>
            <w:rFonts w:ascii="Times New Roman" w:hAnsi="Times New Roman" w:cs="Times New Roman"/>
            <w:sz w:val="24"/>
            <w:szCs w:val="24"/>
          </w:rPr>
          <w:t>ACD 506-05</w:t>
        </w:r>
      </w:hyperlink>
      <w:r w:rsidRPr="00B23F89">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 xml:space="preserve">As appropriate to the faculty member’s appointment, excellent performance in teaching and continued growth and involvement in professional, institutional, or community service since the last promotion is expected. </w:t>
      </w:r>
    </w:p>
    <w:p w14:paraId="7329C328"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2430D789" w14:textId="60AACAEF"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Faculty at the level of research professor are also expected to take on greater responsibility for institutional leadership and mentorship. As stated in the SoAs for promotion of tenure-line faculty, the candidate must show evidence of academic leadership within and beyond MLFTC, continued significant contributions to scholarship with demonstrable national/international impact, and external recognition at the national or international level for the quality and significance of their intellectual contributions. </w:t>
      </w:r>
    </w:p>
    <w:p w14:paraId="00C95BF2"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47D8F6BB" w14:textId="50C5AD34" w:rsidR="00B23F89" w:rsidRPr="008768A2" w:rsidRDefault="00693D6F"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Generally</w:t>
      </w:r>
      <w:r w:rsidR="00B23F89" w:rsidRPr="008768A2">
        <w:rPr>
          <w:rFonts w:ascii="Times New Roman" w:hAnsi="Times New Roman" w:cs="Times New Roman"/>
          <w:color w:val="000000" w:themeColor="text1"/>
          <w:sz w:val="24"/>
          <w:szCs w:val="24"/>
        </w:rPr>
        <w:t xml:space="preserve">, candidates for research professor will have been at the rank of research associate professor for a minimum of three years. However, the request for promotion is based not on time in rank or years of service but rather </w:t>
      </w:r>
      <w:r w:rsidR="00844528" w:rsidRPr="008768A2">
        <w:rPr>
          <w:rFonts w:ascii="Times New Roman" w:hAnsi="Times New Roman" w:cs="Times New Roman"/>
          <w:color w:val="000000" w:themeColor="text1"/>
          <w:sz w:val="24"/>
          <w:szCs w:val="24"/>
        </w:rPr>
        <w:t xml:space="preserve">on </w:t>
      </w:r>
      <w:r w:rsidR="00B23F89" w:rsidRPr="008768A2">
        <w:rPr>
          <w:rFonts w:ascii="Times New Roman" w:hAnsi="Times New Roman" w:cs="Times New Roman"/>
          <w:color w:val="000000" w:themeColor="text1"/>
          <w:sz w:val="24"/>
          <w:szCs w:val="24"/>
        </w:rPr>
        <w:t xml:space="preserve">exceptional accomplishment. In the promotion process, </w:t>
      </w:r>
      <w:r w:rsidR="00872091" w:rsidRPr="008768A2">
        <w:rPr>
          <w:rFonts w:ascii="Times New Roman" w:hAnsi="Times New Roman" w:cs="Times New Roman"/>
          <w:color w:val="000000" w:themeColor="text1"/>
          <w:sz w:val="24"/>
          <w:szCs w:val="24"/>
        </w:rPr>
        <w:t xml:space="preserve">research </w:t>
      </w:r>
      <w:r w:rsidR="00B23F89" w:rsidRPr="008768A2">
        <w:rPr>
          <w:rFonts w:ascii="Times New Roman" w:hAnsi="Times New Roman" w:cs="Times New Roman"/>
          <w:color w:val="000000" w:themeColor="text1"/>
          <w:sz w:val="24"/>
          <w:szCs w:val="24"/>
        </w:rPr>
        <w:t>faculty are required to clearly articulate and make visible how their work, and relevant indicators of success, demonstrate evidence of excellence and impact across a coherent and integrated program of work, accordingly.</w:t>
      </w:r>
    </w:p>
    <w:p w14:paraId="697E3707" w14:textId="77777777" w:rsidR="00B23F89" w:rsidRPr="008768A2" w:rsidRDefault="00B23F89" w:rsidP="00B23F89">
      <w:pPr>
        <w:spacing w:line="240" w:lineRule="auto"/>
        <w:ind w:left="1440" w:right="1440"/>
        <w:rPr>
          <w:rFonts w:ascii="Times New Roman" w:hAnsi="Times New Roman" w:cs="Times New Roman"/>
          <w:color w:val="000000" w:themeColor="text1"/>
          <w:sz w:val="24"/>
          <w:szCs w:val="24"/>
        </w:rPr>
      </w:pPr>
    </w:p>
    <w:p w14:paraId="0F3ECD64" w14:textId="484444B3" w:rsidR="00B23F89" w:rsidRPr="008768A2" w:rsidRDefault="00B23F89" w:rsidP="00B23F89">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lastRenderedPageBreak/>
        <w:t xml:space="preserve">A candidate for promotion from research associate to research professor should have or demonstrate: </w:t>
      </w:r>
    </w:p>
    <w:p w14:paraId="09F17D92" w14:textId="77777777" w:rsidR="000D37A4" w:rsidRPr="000D37A4" w:rsidRDefault="000D37A4" w:rsidP="000D37A4">
      <w:pPr>
        <w:numPr>
          <w:ilvl w:val="0"/>
          <w:numId w:val="20"/>
        </w:numPr>
        <w:spacing w:line="240" w:lineRule="auto"/>
        <w:ind w:left="2160" w:right="1440"/>
        <w:rPr>
          <w:rFonts w:ascii="Times New Roman" w:hAnsi="Times New Roman" w:cs="Times New Roman"/>
          <w:color w:val="000000" w:themeColor="text1"/>
          <w:sz w:val="24"/>
          <w:szCs w:val="24"/>
        </w:rPr>
      </w:pPr>
      <w:r w:rsidRPr="000D37A4">
        <w:rPr>
          <w:rFonts w:ascii="Times New Roman" w:hAnsi="Times New Roman" w:cs="Times New Roman"/>
          <w:color w:val="000000" w:themeColor="text1"/>
          <w:sz w:val="24"/>
          <w:szCs w:val="24"/>
        </w:rPr>
        <w:t>A terminal degree (e.g., Ph.D., Ed.D.) in education or a related field appropriate to the position.</w:t>
      </w:r>
    </w:p>
    <w:p w14:paraId="775A377D" w14:textId="1A33BE2A" w:rsidR="00B23F89" w:rsidRPr="008768A2" w:rsidRDefault="00B23F89">
      <w:pPr>
        <w:numPr>
          <w:ilvl w:val="0"/>
          <w:numId w:val="20"/>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At least three years of university-level research experience at the rank of research associate professor</w:t>
      </w:r>
      <w:r w:rsidR="00556775" w:rsidRPr="008768A2">
        <w:rPr>
          <w:rFonts w:ascii="Times New Roman" w:hAnsi="Times New Roman" w:cs="Times New Roman"/>
          <w:color w:val="000000" w:themeColor="text1"/>
          <w:sz w:val="24"/>
          <w:szCs w:val="24"/>
        </w:rPr>
        <w:t>.</w:t>
      </w:r>
    </w:p>
    <w:p w14:paraId="58938EE7" w14:textId="7283EC4A" w:rsidR="00CA569C" w:rsidRPr="008768A2" w:rsidRDefault="00B23F89" w:rsidP="00413B90">
      <w:pPr>
        <w:numPr>
          <w:ilvl w:val="0"/>
          <w:numId w:val="20"/>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A</w:t>
      </w:r>
      <w:r w:rsidR="00844528" w:rsidRPr="008768A2">
        <w:rPr>
          <w:rFonts w:ascii="Times New Roman" w:hAnsi="Times New Roman" w:cs="Times New Roman"/>
          <w:color w:val="000000" w:themeColor="text1"/>
          <w:sz w:val="24"/>
          <w:szCs w:val="24"/>
        </w:rPr>
        <w:t>n</w:t>
      </w:r>
      <w:r w:rsidRPr="008768A2">
        <w:rPr>
          <w:rFonts w:ascii="Times New Roman" w:hAnsi="Times New Roman" w:cs="Times New Roman"/>
          <w:color w:val="000000" w:themeColor="text1"/>
          <w:sz w:val="24"/>
          <w:szCs w:val="24"/>
        </w:rPr>
        <w:t xml:space="preserve"> </w:t>
      </w:r>
      <w:r w:rsidR="00CA569C" w:rsidRPr="008768A2">
        <w:rPr>
          <w:rFonts w:ascii="Times New Roman" w:hAnsi="Times New Roman" w:cs="Times New Roman"/>
          <w:color w:val="000000" w:themeColor="text1"/>
          <w:sz w:val="24"/>
          <w:szCs w:val="24"/>
        </w:rPr>
        <w:t xml:space="preserve">active, </w:t>
      </w:r>
      <w:r w:rsidRPr="008768A2">
        <w:rPr>
          <w:rFonts w:ascii="Times New Roman" w:hAnsi="Times New Roman" w:cs="Times New Roman"/>
          <w:color w:val="000000" w:themeColor="text1"/>
          <w:sz w:val="24"/>
          <w:szCs w:val="24"/>
        </w:rPr>
        <w:t xml:space="preserve">sustained, </w:t>
      </w:r>
      <w:r w:rsidR="008C7503" w:rsidRPr="008768A2">
        <w:rPr>
          <w:rFonts w:ascii="Times New Roman" w:hAnsi="Times New Roman" w:cs="Times New Roman"/>
          <w:color w:val="000000" w:themeColor="text1"/>
          <w:sz w:val="24"/>
          <w:szCs w:val="24"/>
        </w:rPr>
        <w:t xml:space="preserve">and </w:t>
      </w:r>
      <w:r w:rsidRPr="008768A2">
        <w:rPr>
          <w:rFonts w:ascii="Times New Roman" w:hAnsi="Times New Roman" w:cs="Times New Roman"/>
          <w:color w:val="000000" w:themeColor="text1"/>
          <w:sz w:val="24"/>
          <w:szCs w:val="24"/>
        </w:rPr>
        <w:t xml:space="preserve">well-established record of scholarship </w:t>
      </w:r>
      <w:r w:rsidR="00CA569C" w:rsidRPr="008768A2">
        <w:rPr>
          <w:rFonts w:ascii="Times New Roman" w:hAnsi="Times New Roman" w:cs="Times New Roman"/>
          <w:color w:val="000000" w:themeColor="text1"/>
          <w:sz w:val="24"/>
          <w:szCs w:val="24"/>
        </w:rPr>
        <w:t xml:space="preserve">and funded research projects that </w:t>
      </w:r>
      <w:r w:rsidR="008C7503" w:rsidRPr="008768A2">
        <w:rPr>
          <w:rFonts w:ascii="Times New Roman" w:hAnsi="Times New Roman" w:cs="Times New Roman"/>
          <w:color w:val="000000" w:themeColor="text1"/>
          <w:sz w:val="24"/>
          <w:szCs w:val="24"/>
        </w:rPr>
        <w:t xml:space="preserve">have progressively </w:t>
      </w:r>
      <w:r w:rsidR="00CA569C" w:rsidRPr="008768A2">
        <w:rPr>
          <w:rFonts w:ascii="Times New Roman" w:hAnsi="Times New Roman" w:cs="Times New Roman"/>
          <w:color w:val="000000" w:themeColor="text1"/>
          <w:sz w:val="24"/>
          <w:szCs w:val="24"/>
        </w:rPr>
        <w:t>demonstrate</w:t>
      </w:r>
      <w:r w:rsidR="008C7503" w:rsidRPr="008768A2">
        <w:rPr>
          <w:rFonts w:ascii="Times New Roman" w:hAnsi="Times New Roman" w:cs="Times New Roman"/>
          <w:color w:val="000000" w:themeColor="text1"/>
          <w:sz w:val="24"/>
          <w:szCs w:val="24"/>
        </w:rPr>
        <w:t>d</w:t>
      </w:r>
      <w:r w:rsidR="00CA569C" w:rsidRPr="008768A2">
        <w:rPr>
          <w:rFonts w:ascii="Times New Roman" w:hAnsi="Times New Roman" w:cs="Times New Roman"/>
          <w:color w:val="000000" w:themeColor="text1"/>
          <w:sz w:val="24"/>
          <w:szCs w:val="24"/>
        </w:rPr>
        <w:t xml:space="preserve"> excellence</w:t>
      </w:r>
      <w:r w:rsidR="008C7503" w:rsidRPr="008768A2">
        <w:rPr>
          <w:rFonts w:ascii="Times New Roman" w:hAnsi="Times New Roman" w:cs="Times New Roman"/>
          <w:color w:val="000000" w:themeColor="text1"/>
          <w:sz w:val="24"/>
          <w:szCs w:val="24"/>
        </w:rPr>
        <w:t>,</w:t>
      </w:r>
      <w:r w:rsidR="00CA569C" w:rsidRPr="008768A2">
        <w:rPr>
          <w:rFonts w:ascii="Times New Roman" w:hAnsi="Times New Roman" w:cs="Times New Roman"/>
          <w:color w:val="000000" w:themeColor="text1"/>
          <w:sz w:val="24"/>
          <w:szCs w:val="24"/>
        </w:rPr>
        <w:t xml:space="preserve"> influence on the field</w:t>
      </w:r>
      <w:r w:rsidR="008C7503" w:rsidRPr="008768A2">
        <w:rPr>
          <w:rFonts w:ascii="Times New Roman" w:hAnsi="Times New Roman" w:cs="Times New Roman"/>
          <w:color w:val="000000" w:themeColor="text1"/>
          <w:sz w:val="24"/>
          <w:szCs w:val="24"/>
        </w:rPr>
        <w:t>,</w:t>
      </w:r>
      <w:r w:rsidR="00CA569C" w:rsidRPr="008768A2">
        <w:rPr>
          <w:rFonts w:ascii="Times New Roman" w:hAnsi="Times New Roman" w:cs="Times New Roman"/>
          <w:color w:val="000000" w:themeColor="text1"/>
          <w:sz w:val="24"/>
          <w:szCs w:val="24"/>
        </w:rPr>
        <w:t xml:space="preserve"> and significant contribution</w:t>
      </w:r>
      <w:r w:rsidR="008C7503" w:rsidRPr="008768A2">
        <w:rPr>
          <w:rFonts w:ascii="Times New Roman" w:hAnsi="Times New Roman" w:cs="Times New Roman"/>
          <w:color w:val="000000" w:themeColor="text1"/>
          <w:sz w:val="24"/>
          <w:szCs w:val="24"/>
        </w:rPr>
        <w:t>s</w:t>
      </w:r>
      <w:r w:rsidR="00CA569C" w:rsidRPr="008768A2">
        <w:rPr>
          <w:rFonts w:ascii="Times New Roman" w:hAnsi="Times New Roman" w:cs="Times New Roman"/>
          <w:color w:val="000000" w:themeColor="text1"/>
          <w:sz w:val="24"/>
          <w:szCs w:val="24"/>
        </w:rPr>
        <w:t xml:space="preserve"> to knowledge in the candidate’s area(s) of expertise (see also SoA 2.2.1)</w:t>
      </w:r>
      <w:r w:rsidR="00556775" w:rsidRPr="008768A2">
        <w:rPr>
          <w:rFonts w:ascii="Times New Roman" w:hAnsi="Times New Roman" w:cs="Times New Roman"/>
          <w:color w:val="000000" w:themeColor="text1"/>
          <w:sz w:val="24"/>
          <w:szCs w:val="24"/>
        </w:rPr>
        <w:t>.</w:t>
      </w:r>
    </w:p>
    <w:p w14:paraId="0159BF57" w14:textId="2B48348E" w:rsidR="00B23F89" w:rsidRPr="008768A2" w:rsidRDefault="00B23F89">
      <w:pPr>
        <w:numPr>
          <w:ilvl w:val="0"/>
          <w:numId w:val="20"/>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Evidence of continued academic excellence and broader impact, reflected in external recognition at the national or international level for the quality and significance of their intellectual contributions. Excellence and impact can also be demonstrated in academic leadership activities such as editorships of highly regarded academic journals, leadership for collaborative research projects with other institutions of higher education and/or schools and community organizations, and leadership in scholarly professional organizations</w:t>
      </w:r>
      <w:r w:rsidR="000B024F" w:rsidRPr="008768A2">
        <w:rPr>
          <w:rFonts w:ascii="Times New Roman" w:hAnsi="Times New Roman" w:cs="Times New Roman"/>
          <w:color w:val="000000" w:themeColor="text1"/>
          <w:sz w:val="24"/>
          <w:szCs w:val="24"/>
        </w:rPr>
        <w:t xml:space="preserve"> (see also SoA 2.2.1.2</w:t>
      </w:r>
      <w:r w:rsidR="008C7503" w:rsidRPr="008768A2">
        <w:rPr>
          <w:rFonts w:ascii="Times New Roman" w:hAnsi="Times New Roman" w:cs="Times New Roman"/>
          <w:color w:val="000000" w:themeColor="text1"/>
          <w:sz w:val="24"/>
          <w:szCs w:val="24"/>
        </w:rPr>
        <w:t xml:space="preserve"> and SoA 4.5</w:t>
      </w:r>
      <w:r w:rsidR="000B024F" w:rsidRPr="008768A2">
        <w:rPr>
          <w:rFonts w:ascii="Times New Roman" w:hAnsi="Times New Roman" w:cs="Times New Roman"/>
          <w:color w:val="000000" w:themeColor="text1"/>
          <w:sz w:val="24"/>
          <w:szCs w:val="24"/>
        </w:rPr>
        <w:t>)</w:t>
      </w:r>
      <w:r w:rsidR="00556775" w:rsidRPr="008768A2">
        <w:rPr>
          <w:rFonts w:ascii="Times New Roman" w:hAnsi="Times New Roman" w:cs="Times New Roman"/>
          <w:color w:val="000000" w:themeColor="text1"/>
          <w:sz w:val="24"/>
          <w:szCs w:val="24"/>
        </w:rPr>
        <w:t>.</w:t>
      </w:r>
    </w:p>
    <w:p w14:paraId="6B0E1F1B" w14:textId="0FCFA060" w:rsidR="00B23F89" w:rsidRPr="008768A2" w:rsidRDefault="00B23F89">
      <w:pPr>
        <w:numPr>
          <w:ilvl w:val="0"/>
          <w:numId w:val="20"/>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If teaching is part of the </w:t>
      </w:r>
      <w:r w:rsidR="00872091" w:rsidRPr="008768A2">
        <w:rPr>
          <w:rFonts w:ascii="Times New Roman" w:hAnsi="Times New Roman" w:cs="Times New Roman"/>
          <w:color w:val="000000" w:themeColor="text1"/>
          <w:sz w:val="24"/>
          <w:szCs w:val="24"/>
        </w:rPr>
        <w:t xml:space="preserve">research </w:t>
      </w:r>
      <w:r w:rsidRPr="008768A2">
        <w:rPr>
          <w:rFonts w:ascii="Times New Roman" w:hAnsi="Times New Roman" w:cs="Times New Roman"/>
          <w:color w:val="000000" w:themeColor="text1"/>
          <w:sz w:val="24"/>
          <w:szCs w:val="24"/>
        </w:rPr>
        <w:t>faculty member’s appointment, a continued record of effective contributions to teaching, such as high-quality formal course instruction and student mentoring, involvement in course/curriculum development, and broader support of teaching mission</w:t>
      </w:r>
      <w:r w:rsidR="000B024F" w:rsidRPr="008768A2">
        <w:rPr>
          <w:rFonts w:ascii="Times New Roman" w:hAnsi="Times New Roman" w:cs="Times New Roman"/>
          <w:color w:val="000000" w:themeColor="text1"/>
          <w:sz w:val="24"/>
          <w:szCs w:val="24"/>
        </w:rPr>
        <w:t xml:space="preserve"> (see also SoA 2.2.2)</w:t>
      </w:r>
      <w:r w:rsidRPr="008768A2">
        <w:rPr>
          <w:rFonts w:ascii="Times New Roman" w:hAnsi="Times New Roman" w:cs="Times New Roman"/>
          <w:color w:val="000000" w:themeColor="text1"/>
          <w:sz w:val="24"/>
          <w:szCs w:val="24"/>
        </w:rPr>
        <w:t xml:space="preserve">. The </w:t>
      </w:r>
      <w:r w:rsidR="00872091" w:rsidRPr="008768A2">
        <w:rPr>
          <w:rFonts w:ascii="Times New Roman" w:hAnsi="Times New Roman" w:cs="Times New Roman"/>
          <w:color w:val="000000" w:themeColor="text1"/>
          <w:sz w:val="24"/>
          <w:szCs w:val="24"/>
        </w:rPr>
        <w:t xml:space="preserve">research </w:t>
      </w:r>
      <w:r w:rsidRPr="008768A2">
        <w:rPr>
          <w:rFonts w:ascii="Times New Roman" w:hAnsi="Times New Roman" w:cs="Times New Roman"/>
          <w:color w:val="000000" w:themeColor="text1"/>
          <w:sz w:val="24"/>
          <w:szCs w:val="24"/>
        </w:rPr>
        <w:t>faculty member should show evidence of academic leadership in teaching, through substantive engagement in the improvement of teaching, course and program development, and/or professional development activities</w:t>
      </w:r>
      <w:r w:rsidR="000B024F" w:rsidRPr="008768A2">
        <w:rPr>
          <w:rFonts w:ascii="Times New Roman" w:hAnsi="Times New Roman" w:cs="Times New Roman"/>
          <w:color w:val="000000" w:themeColor="text1"/>
          <w:sz w:val="24"/>
          <w:szCs w:val="24"/>
        </w:rPr>
        <w:t xml:space="preserve"> (see also SoA 2.2.2.2)</w:t>
      </w:r>
      <w:r w:rsidR="00556775" w:rsidRPr="008768A2">
        <w:rPr>
          <w:rFonts w:ascii="Times New Roman" w:hAnsi="Times New Roman" w:cs="Times New Roman"/>
          <w:color w:val="000000" w:themeColor="text1"/>
          <w:sz w:val="24"/>
          <w:szCs w:val="24"/>
        </w:rPr>
        <w:t>.</w:t>
      </w:r>
    </w:p>
    <w:p w14:paraId="17CC38FC" w14:textId="7873037A" w:rsidR="00B23F89" w:rsidRPr="008768A2" w:rsidRDefault="00B23F89">
      <w:pPr>
        <w:numPr>
          <w:ilvl w:val="0"/>
          <w:numId w:val="20"/>
        </w:numPr>
        <w:spacing w:line="240" w:lineRule="auto"/>
        <w:ind w:left="216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If service is part of the </w:t>
      </w:r>
      <w:r w:rsidR="00872091" w:rsidRPr="008768A2">
        <w:rPr>
          <w:rFonts w:ascii="Times New Roman" w:hAnsi="Times New Roman" w:cs="Times New Roman"/>
          <w:color w:val="000000" w:themeColor="text1"/>
          <w:sz w:val="24"/>
          <w:szCs w:val="24"/>
        </w:rPr>
        <w:t xml:space="preserve">research </w:t>
      </w:r>
      <w:r w:rsidRPr="008768A2">
        <w:rPr>
          <w:rFonts w:ascii="Times New Roman" w:hAnsi="Times New Roman" w:cs="Times New Roman"/>
          <w:color w:val="000000" w:themeColor="text1"/>
          <w:sz w:val="24"/>
          <w:szCs w:val="24"/>
        </w:rPr>
        <w:t>faculty member’s appointment, a continued record of involvement in institutional, professional, and community service with evidence of impact and high-quality outcomes. Service may include such activities as membership on academic unit committees, roles in shared governance, contributions to campus committees, and/or similar activities within professional organizations. Service may also include community activities that draw upon professional expertise or subject knowledge and/or advance ASU and MLFTC by meeting the needs of the greater public</w:t>
      </w:r>
      <w:r w:rsidR="000B024F" w:rsidRPr="008768A2">
        <w:rPr>
          <w:rFonts w:ascii="Times New Roman" w:hAnsi="Times New Roman" w:cs="Times New Roman"/>
          <w:color w:val="000000" w:themeColor="text1"/>
          <w:sz w:val="24"/>
          <w:szCs w:val="24"/>
        </w:rPr>
        <w:t xml:space="preserve"> (see also SoA 2.2.3).</w:t>
      </w:r>
      <w:r w:rsidRPr="008768A2">
        <w:rPr>
          <w:rFonts w:ascii="Times New Roman" w:hAnsi="Times New Roman" w:cs="Times New Roman"/>
          <w:color w:val="000000" w:themeColor="text1"/>
          <w:sz w:val="24"/>
          <w:szCs w:val="24"/>
        </w:rPr>
        <w:t xml:space="preserve"> The </w:t>
      </w:r>
      <w:r w:rsidR="00872091" w:rsidRPr="008768A2">
        <w:rPr>
          <w:rFonts w:ascii="Times New Roman" w:hAnsi="Times New Roman" w:cs="Times New Roman"/>
          <w:color w:val="000000" w:themeColor="text1"/>
          <w:sz w:val="24"/>
          <w:szCs w:val="24"/>
        </w:rPr>
        <w:t xml:space="preserve">research </w:t>
      </w:r>
      <w:r w:rsidRPr="008768A2">
        <w:rPr>
          <w:rFonts w:ascii="Times New Roman" w:hAnsi="Times New Roman" w:cs="Times New Roman"/>
          <w:color w:val="000000" w:themeColor="text1"/>
          <w:sz w:val="24"/>
          <w:szCs w:val="24"/>
        </w:rPr>
        <w:t>faculty member should show evidence of academic leadership in service, through substantive engagement in roles such as chairing committees, assuming leadership roles in professional organizations, and consulting on educational policy development and other local, national, and/or international education initiatives</w:t>
      </w:r>
      <w:r w:rsidR="000B024F" w:rsidRPr="008768A2">
        <w:rPr>
          <w:rFonts w:ascii="Times New Roman" w:hAnsi="Times New Roman" w:cs="Times New Roman"/>
          <w:color w:val="000000" w:themeColor="text1"/>
          <w:sz w:val="24"/>
          <w:szCs w:val="24"/>
        </w:rPr>
        <w:t xml:space="preserve"> (see also SoA 2.2.3.2)</w:t>
      </w:r>
      <w:r w:rsidRPr="008768A2">
        <w:rPr>
          <w:rFonts w:ascii="Times New Roman" w:hAnsi="Times New Roman" w:cs="Times New Roman"/>
          <w:color w:val="000000" w:themeColor="text1"/>
          <w:sz w:val="24"/>
          <w:szCs w:val="24"/>
        </w:rPr>
        <w:t xml:space="preserve">. </w:t>
      </w:r>
    </w:p>
    <w:p w14:paraId="10B2E967" w14:textId="77777777" w:rsidR="00B23F89" w:rsidRPr="008768A2" w:rsidRDefault="00B23F89" w:rsidP="00A633AF">
      <w:pPr>
        <w:spacing w:line="240" w:lineRule="auto"/>
        <w:ind w:right="1440"/>
        <w:rPr>
          <w:rFonts w:ascii="Times New Roman" w:hAnsi="Times New Roman" w:cs="Times New Roman"/>
          <w:color w:val="000000" w:themeColor="text1"/>
          <w:sz w:val="24"/>
          <w:szCs w:val="24"/>
        </w:rPr>
      </w:pPr>
    </w:p>
    <w:p w14:paraId="2452837A" w14:textId="3FBF2412" w:rsidR="000B024F" w:rsidRPr="008768A2" w:rsidRDefault="007F32C2" w:rsidP="007F32C2">
      <w:pPr>
        <w:spacing w:line="240" w:lineRule="auto"/>
        <w:ind w:left="1440" w:right="1440"/>
        <w:rPr>
          <w:rFonts w:ascii="Times New Roman" w:hAnsi="Times New Roman" w:cs="Times New Roman"/>
          <w:b/>
          <w:color w:val="000000" w:themeColor="text1"/>
          <w:sz w:val="24"/>
          <w:szCs w:val="24"/>
        </w:rPr>
      </w:pPr>
      <w:r w:rsidRPr="008768A2">
        <w:rPr>
          <w:rFonts w:ascii="Times New Roman" w:hAnsi="Times New Roman" w:cs="Times New Roman"/>
          <w:b/>
          <w:color w:val="000000" w:themeColor="text1"/>
          <w:sz w:val="24"/>
          <w:szCs w:val="24"/>
        </w:rPr>
        <w:t>5.1.2.3</w:t>
      </w:r>
      <w:r w:rsidR="000B024F" w:rsidRPr="008768A2">
        <w:rPr>
          <w:rFonts w:ascii="Times New Roman" w:hAnsi="Times New Roman" w:cs="Times New Roman"/>
          <w:b/>
          <w:color w:val="000000" w:themeColor="text1"/>
          <w:sz w:val="24"/>
          <w:szCs w:val="24"/>
        </w:rPr>
        <w:t xml:space="preserve"> Promotion Portfolio</w:t>
      </w:r>
      <w:r w:rsidR="00B823D3" w:rsidRPr="008768A2">
        <w:rPr>
          <w:rFonts w:ascii="Times New Roman" w:hAnsi="Times New Roman" w:cs="Times New Roman"/>
          <w:b/>
          <w:color w:val="000000" w:themeColor="text1"/>
          <w:sz w:val="24"/>
          <w:szCs w:val="24"/>
        </w:rPr>
        <w:t>s</w:t>
      </w:r>
      <w:r w:rsidR="000B024F" w:rsidRPr="008768A2">
        <w:rPr>
          <w:rFonts w:ascii="Times New Roman" w:hAnsi="Times New Roman" w:cs="Times New Roman"/>
          <w:b/>
          <w:color w:val="000000" w:themeColor="text1"/>
          <w:sz w:val="24"/>
          <w:szCs w:val="24"/>
        </w:rPr>
        <w:t xml:space="preserve"> </w:t>
      </w:r>
      <w:r w:rsidR="00B823D3" w:rsidRPr="008768A2">
        <w:rPr>
          <w:rFonts w:ascii="Times New Roman" w:hAnsi="Times New Roman" w:cs="Times New Roman"/>
          <w:b/>
          <w:color w:val="000000" w:themeColor="text1"/>
          <w:sz w:val="24"/>
          <w:szCs w:val="24"/>
        </w:rPr>
        <w:t>and Processes</w:t>
      </w:r>
    </w:p>
    <w:p w14:paraId="0C8AA36F" w14:textId="77777777" w:rsidR="000B024F" w:rsidRPr="008768A2" w:rsidRDefault="000B024F" w:rsidP="000B024F">
      <w:pPr>
        <w:pStyle w:val="ListParagraph"/>
        <w:spacing w:line="240" w:lineRule="auto"/>
        <w:ind w:left="2220" w:right="1440"/>
        <w:rPr>
          <w:rFonts w:ascii="Times New Roman" w:hAnsi="Times New Roman" w:cs="Times New Roman"/>
          <w:b/>
          <w:color w:val="000000" w:themeColor="text1"/>
          <w:sz w:val="24"/>
          <w:szCs w:val="24"/>
        </w:rPr>
      </w:pPr>
    </w:p>
    <w:p w14:paraId="14F4548D" w14:textId="140AE179" w:rsidR="00DF2E0D"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Research faculty considering promotion should initiate the process by speaking to their vice dean by the date specified on the</w:t>
      </w:r>
      <w:r w:rsidRPr="00DF2E0D">
        <w:rPr>
          <w:rFonts w:ascii="Times New Roman" w:hAnsi="Times New Roman" w:cs="Times New Roman"/>
          <w:sz w:val="24"/>
          <w:szCs w:val="24"/>
        </w:rPr>
        <w:t xml:space="preserve"> </w:t>
      </w:r>
      <w:hyperlink r:id="rId81" w:history="1">
        <w:r w:rsidRPr="00DF2E0D">
          <w:rPr>
            <w:rStyle w:val="Hyperlink"/>
            <w:rFonts w:ascii="Times New Roman" w:hAnsi="Times New Roman" w:cs="Times New Roman"/>
            <w:sz w:val="24"/>
            <w:szCs w:val="24"/>
          </w:rPr>
          <w:t>Schedule of Academic Personnel Actions.</w:t>
        </w:r>
      </w:hyperlink>
      <w:r w:rsidRPr="00DF2E0D">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Prospective candidates should also familiarize themselves with the promotion process and the university’s portfolio submission requirements outlined within the</w:t>
      </w:r>
      <w:r w:rsidR="00102DC9" w:rsidRPr="008768A2">
        <w:rPr>
          <w:rFonts w:ascii="Times New Roman" w:hAnsi="Times New Roman" w:cs="Times New Roman"/>
          <w:color w:val="000000" w:themeColor="text1"/>
          <w:sz w:val="24"/>
          <w:szCs w:val="24"/>
        </w:rPr>
        <w:t xml:space="preserve"> ASU provost’s</w:t>
      </w:r>
      <w:r w:rsidRPr="008768A2">
        <w:rPr>
          <w:rFonts w:ascii="Times New Roman" w:hAnsi="Times New Roman" w:cs="Times New Roman"/>
          <w:color w:val="000000" w:themeColor="text1"/>
          <w:sz w:val="24"/>
          <w:szCs w:val="24"/>
        </w:rPr>
        <w:t xml:space="preserve"> </w:t>
      </w:r>
      <w:hyperlink r:id="rId82" w:anchor="webspark-anchor-link--280" w:history="1">
        <w:r w:rsidRPr="00DF2E0D">
          <w:rPr>
            <w:rStyle w:val="Hyperlink"/>
            <w:rFonts w:ascii="Times New Roman" w:hAnsi="Times New Roman" w:cs="Times New Roman"/>
            <w:sz w:val="24"/>
            <w:szCs w:val="24"/>
          </w:rPr>
          <w:t>Personnel Processes</w:t>
        </w:r>
      </w:hyperlink>
      <w:r w:rsidRPr="00DF2E0D">
        <w:rPr>
          <w:rFonts w:ascii="Times New Roman" w:hAnsi="Times New Roman" w:cs="Times New Roman"/>
          <w:sz w:val="24"/>
          <w:szCs w:val="24"/>
        </w:rPr>
        <w:t xml:space="preserve"> </w:t>
      </w:r>
      <w:r w:rsidRPr="008768A2">
        <w:rPr>
          <w:rFonts w:ascii="Times New Roman" w:hAnsi="Times New Roman" w:cs="Times New Roman"/>
          <w:color w:val="000000" w:themeColor="text1"/>
          <w:sz w:val="24"/>
          <w:szCs w:val="24"/>
        </w:rPr>
        <w:t>(Process Guide for Fixed Term Faculty Promotion).</w:t>
      </w:r>
    </w:p>
    <w:p w14:paraId="7C5C5B2B" w14:textId="77777777" w:rsidR="00DF2E0D" w:rsidRPr="008768A2" w:rsidRDefault="00DF2E0D" w:rsidP="00DF2E0D">
      <w:pPr>
        <w:spacing w:line="240" w:lineRule="auto"/>
        <w:ind w:left="1440" w:right="1440"/>
        <w:rPr>
          <w:rFonts w:ascii="Times New Roman" w:hAnsi="Times New Roman" w:cs="Times New Roman"/>
          <w:color w:val="000000" w:themeColor="text1"/>
          <w:sz w:val="24"/>
          <w:szCs w:val="24"/>
        </w:rPr>
      </w:pPr>
    </w:p>
    <w:p w14:paraId="6099CD23" w14:textId="75658913" w:rsidR="009D7EF2"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lastRenderedPageBreak/>
        <w:t xml:space="preserve">The portfolio must include electronic copies (PDF) of all materials specified by ASU’s </w:t>
      </w:r>
      <w:r w:rsidR="00102DC9" w:rsidRPr="008768A2">
        <w:rPr>
          <w:rFonts w:ascii="Times New Roman" w:hAnsi="Times New Roman" w:cs="Times New Roman"/>
          <w:color w:val="000000" w:themeColor="text1"/>
          <w:sz w:val="24"/>
          <w:szCs w:val="24"/>
        </w:rPr>
        <w:t>p</w:t>
      </w:r>
      <w:r w:rsidRPr="008768A2">
        <w:rPr>
          <w:rFonts w:ascii="Times New Roman" w:hAnsi="Times New Roman" w:cs="Times New Roman"/>
          <w:color w:val="000000" w:themeColor="text1"/>
          <w:sz w:val="24"/>
          <w:szCs w:val="24"/>
        </w:rPr>
        <w:t xml:space="preserve">rovost whose responsibilities are primarily research and be submitted according to MLFTC procedures and schedules. In addition to the </w:t>
      </w:r>
      <w:r w:rsidR="00102DC9" w:rsidRPr="008768A2">
        <w:rPr>
          <w:rFonts w:ascii="Times New Roman" w:hAnsi="Times New Roman" w:cs="Times New Roman"/>
          <w:color w:val="000000" w:themeColor="text1"/>
          <w:sz w:val="24"/>
          <w:szCs w:val="24"/>
        </w:rPr>
        <w:t>ASU p</w:t>
      </w:r>
      <w:r w:rsidRPr="008768A2">
        <w:rPr>
          <w:rFonts w:ascii="Times New Roman" w:hAnsi="Times New Roman" w:cs="Times New Roman"/>
          <w:color w:val="000000" w:themeColor="text1"/>
          <w:sz w:val="24"/>
          <w:szCs w:val="24"/>
        </w:rPr>
        <w:t xml:space="preserve">rovost’s portfolio requirements, MLFTC </w:t>
      </w:r>
      <w:r w:rsidR="009616F7" w:rsidRPr="008768A2">
        <w:rPr>
          <w:rFonts w:ascii="Times New Roman" w:hAnsi="Times New Roman" w:cs="Times New Roman"/>
          <w:color w:val="000000" w:themeColor="text1"/>
          <w:sz w:val="24"/>
          <w:szCs w:val="24"/>
        </w:rPr>
        <w:t>strongly suggests</w:t>
      </w:r>
      <w:r w:rsidRPr="008768A2">
        <w:rPr>
          <w:rFonts w:ascii="Times New Roman" w:hAnsi="Times New Roman" w:cs="Times New Roman"/>
          <w:color w:val="000000" w:themeColor="text1"/>
          <w:sz w:val="24"/>
          <w:szCs w:val="24"/>
        </w:rPr>
        <w:t xml:space="preserve"> </w:t>
      </w:r>
      <w:r w:rsidR="00E91082" w:rsidRPr="008768A2">
        <w:rPr>
          <w:rFonts w:ascii="Times New Roman" w:hAnsi="Times New Roman" w:cs="Times New Roman"/>
          <w:color w:val="000000" w:themeColor="text1"/>
          <w:sz w:val="24"/>
          <w:szCs w:val="24"/>
        </w:rPr>
        <w:t>three</w:t>
      </w:r>
      <w:r w:rsidRPr="008768A2">
        <w:rPr>
          <w:rFonts w:ascii="Times New Roman" w:hAnsi="Times New Roman" w:cs="Times New Roman"/>
          <w:color w:val="000000" w:themeColor="text1"/>
          <w:sz w:val="24"/>
          <w:szCs w:val="24"/>
        </w:rPr>
        <w:t xml:space="preserve"> letters from external reviewers who can evaluate the candidate’s scholarly contributions. These reviewers should be at </w:t>
      </w:r>
      <w:r w:rsidR="00844528" w:rsidRPr="008768A2">
        <w:rPr>
          <w:rFonts w:ascii="Times New Roman" w:hAnsi="Times New Roman" w:cs="Times New Roman"/>
          <w:color w:val="000000" w:themeColor="text1"/>
          <w:sz w:val="24"/>
          <w:szCs w:val="24"/>
        </w:rPr>
        <w:t xml:space="preserve">the </w:t>
      </w:r>
      <w:r w:rsidRPr="008768A2">
        <w:rPr>
          <w:rFonts w:ascii="Times New Roman" w:hAnsi="Times New Roman" w:cs="Times New Roman"/>
          <w:color w:val="000000" w:themeColor="text1"/>
          <w:sz w:val="24"/>
          <w:szCs w:val="24"/>
        </w:rPr>
        <w:t xml:space="preserve">rank of </w:t>
      </w:r>
      <w:r w:rsidR="00872091" w:rsidRPr="008768A2">
        <w:rPr>
          <w:rFonts w:ascii="Times New Roman" w:hAnsi="Times New Roman" w:cs="Times New Roman"/>
          <w:color w:val="000000" w:themeColor="text1"/>
          <w:sz w:val="24"/>
          <w:szCs w:val="24"/>
        </w:rPr>
        <w:t xml:space="preserve">tenured </w:t>
      </w:r>
      <w:r w:rsidRPr="008768A2">
        <w:rPr>
          <w:rFonts w:ascii="Times New Roman" w:hAnsi="Times New Roman" w:cs="Times New Roman"/>
          <w:color w:val="000000" w:themeColor="text1"/>
          <w:sz w:val="24"/>
          <w:szCs w:val="24"/>
        </w:rPr>
        <w:t xml:space="preserve">professor or research professor. </w:t>
      </w:r>
    </w:p>
    <w:p w14:paraId="79DB352F" w14:textId="77777777" w:rsidR="009D7EF2" w:rsidRPr="008768A2" w:rsidRDefault="009D7EF2" w:rsidP="00DF2E0D">
      <w:pPr>
        <w:spacing w:line="240" w:lineRule="auto"/>
        <w:ind w:left="1440" w:right="1440"/>
        <w:rPr>
          <w:rFonts w:ascii="Times New Roman" w:hAnsi="Times New Roman" w:cs="Times New Roman"/>
          <w:color w:val="000000" w:themeColor="text1"/>
          <w:sz w:val="24"/>
          <w:szCs w:val="24"/>
        </w:rPr>
      </w:pPr>
    </w:p>
    <w:p w14:paraId="7E22786E" w14:textId="409DBEE0" w:rsidR="00DF2E0D"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The candidate must submit a list of at least five names of eligible external reviewers who can evaluate and report on the candidate’s scholarship</w:t>
      </w:r>
      <w:r w:rsidR="00014D0D" w:rsidRPr="008768A2">
        <w:rPr>
          <w:rFonts w:ascii="Times New Roman" w:hAnsi="Times New Roman" w:cs="Times New Roman"/>
          <w:color w:val="000000" w:themeColor="text1"/>
          <w:sz w:val="24"/>
          <w:szCs w:val="24"/>
        </w:rPr>
        <w:t xml:space="preserve">, </w:t>
      </w:r>
      <w:r w:rsidRPr="008768A2">
        <w:rPr>
          <w:rFonts w:ascii="Times New Roman" w:hAnsi="Times New Roman" w:cs="Times New Roman"/>
          <w:color w:val="000000" w:themeColor="text1"/>
          <w:sz w:val="24"/>
          <w:szCs w:val="24"/>
        </w:rPr>
        <w:t>teaching</w:t>
      </w:r>
      <w:r w:rsidR="00014D0D" w:rsidRPr="008768A2">
        <w:rPr>
          <w:rFonts w:ascii="Times New Roman" w:hAnsi="Times New Roman" w:cs="Times New Roman"/>
          <w:color w:val="000000" w:themeColor="text1"/>
          <w:sz w:val="24"/>
          <w:szCs w:val="24"/>
        </w:rPr>
        <w:t xml:space="preserve"> (if applicable)</w:t>
      </w:r>
      <w:r w:rsidRPr="008768A2">
        <w:rPr>
          <w:rFonts w:ascii="Times New Roman" w:hAnsi="Times New Roman" w:cs="Times New Roman"/>
          <w:color w:val="000000" w:themeColor="text1"/>
          <w:sz w:val="24"/>
          <w:szCs w:val="24"/>
        </w:rPr>
        <w:t>, and service</w:t>
      </w:r>
      <w:r w:rsidR="00014D0D" w:rsidRPr="008768A2">
        <w:rPr>
          <w:rFonts w:ascii="Times New Roman" w:hAnsi="Times New Roman" w:cs="Times New Roman"/>
          <w:color w:val="000000" w:themeColor="text1"/>
          <w:sz w:val="24"/>
          <w:szCs w:val="24"/>
        </w:rPr>
        <w:t xml:space="preserve"> (if applicable)</w:t>
      </w:r>
      <w:r w:rsidRPr="008768A2">
        <w:rPr>
          <w:rFonts w:ascii="Times New Roman" w:hAnsi="Times New Roman" w:cs="Times New Roman"/>
          <w:color w:val="000000" w:themeColor="text1"/>
          <w:sz w:val="24"/>
          <w:szCs w:val="24"/>
        </w:rPr>
        <w:t>, according to the</w:t>
      </w:r>
      <w:r w:rsidR="00872091" w:rsidRPr="008768A2">
        <w:rPr>
          <w:rFonts w:ascii="Times New Roman" w:hAnsi="Times New Roman" w:cs="Times New Roman"/>
          <w:color w:val="000000" w:themeColor="text1"/>
          <w:sz w:val="24"/>
          <w:szCs w:val="24"/>
        </w:rPr>
        <w:t xml:space="preserve"> candidate’s</w:t>
      </w:r>
      <w:r w:rsidRPr="008768A2">
        <w:rPr>
          <w:rFonts w:ascii="Times New Roman" w:hAnsi="Times New Roman" w:cs="Times New Roman"/>
          <w:color w:val="000000" w:themeColor="text1"/>
          <w:sz w:val="24"/>
          <w:szCs w:val="24"/>
        </w:rPr>
        <w:t xml:space="preserve"> </w:t>
      </w:r>
      <w:r w:rsidR="009D7EF2" w:rsidRPr="008768A2">
        <w:rPr>
          <w:rFonts w:ascii="Times New Roman" w:hAnsi="Times New Roman" w:cs="Times New Roman"/>
          <w:color w:val="000000" w:themeColor="text1"/>
          <w:sz w:val="24"/>
          <w:szCs w:val="24"/>
        </w:rPr>
        <w:t xml:space="preserve">rank, </w:t>
      </w:r>
      <w:r w:rsidRPr="008768A2">
        <w:rPr>
          <w:rFonts w:ascii="Times New Roman" w:hAnsi="Times New Roman" w:cs="Times New Roman"/>
          <w:color w:val="000000" w:themeColor="text1"/>
          <w:sz w:val="24"/>
          <w:szCs w:val="24"/>
        </w:rPr>
        <w:t>position statements</w:t>
      </w:r>
      <w:r w:rsidR="009D7EF2"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and annual workload assignment. The vice dean will </w:t>
      </w:r>
      <w:r w:rsidR="006611E3" w:rsidRPr="008768A2">
        <w:rPr>
          <w:rFonts w:ascii="Times New Roman" w:hAnsi="Times New Roman" w:cs="Times New Roman"/>
          <w:color w:val="000000" w:themeColor="text1"/>
          <w:sz w:val="24"/>
          <w:szCs w:val="24"/>
        </w:rPr>
        <w:t xml:space="preserve">select two from the list </w:t>
      </w:r>
      <w:r w:rsidRPr="008768A2">
        <w:rPr>
          <w:rFonts w:ascii="Times New Roman" w:hAnsi="Times New Roman" w:cs="Times New Roman"/>
          <w:color w:val="000000" w:themeColor="text1"/>
          <w:sz w:val="24"/>
          <w:szCs w:val="24"/>
        </w:rPr>
        <w:t>provided by the candidate</w:t>
      </w:r>
      <w:r w:rsidR="006611E3" w:rsidRPr="008768A2">
        <w:rPr>
          <w:rFonts w:ascii="Times New Roman" w:hAnsi="Times New Roman" w:cs="Times New Roman"/>
          <w:color w:val="000000" w:themeColor="text1"/>
          <w:sz w:val="24"/>
          <w:szCs w:val="24"/>
        </w:rPr>
        <w:t xml:space="preserve"> and one additional reviewer</w:t>
      </w:r>
      <w:r w:rsidR="009616F7" w:rsidRPr="008768A2">
        <w:rPr>
          <w:rFonts w:ascii="Times New Roman" w:hAnsi="Times New Roman" w:cs="Times New Roman"/>
          <w:color w:val="000000" w:themeColor="text1"/>
          <w:sz w:val="24"/>
          <w:szCs w:val="24"/>
        </w:rPr>
        <w:t>.</w:t>
      </w:r>
      <w:r w:rsidRPr="008768A2">
        <w:rPr>
          <w:rFonts w:ascii="Times New Roman" w:hAnsi="Times New Roman" w:cs="Times New Roman"/>
          <w:color w:val="000000" w:themeColor="text1"/>
          <w:sz w:val="24"/>
          <w:szCs w:val="24"/>
        </w:rPr>
        <w:t xml:space="preserve"> If the candidate’s appointment is with a research center or institute, the unit director </w:t>
      </w:r>
      <w:r w:rsidR="009616F7" w:rsidRPr="008768A2">
        <w:rPr>
          <w:rFonts w:ascii="Times New Roman" w:hAnsi="Times New Roman" w:cs="Times New Roman"/>
          <w:color w:val="000000" w:themeColor="text1"/>
          <w:sz w:val="24"/>
          <w:szCs w:val="24"/>
        </w:rPr>
        <w:t>must</w:t>
      </w:r>
      <w:r w:rsidRPr="008768A2">
        <w:rPr>
          <w:rFonts w:ascii="Times New Roman" w:hAnsi="Times New Roman" w:cs="Times New Roman"/>
          <w:color w:val="000000" w:themeColor="text1"/>
          <w:sz w:val="24"/>
          <w:szCs w:val="24"/>
        </w:rPr>
        <w:t xml:space="preserve"> write a</w:t>
      </w:r>
      <w:r w:rsidR="009616F7" w:rsidRPr="008768A2">
        <w:rPr>
          <w:rFonts w:ascii="Times New Roman" w:hAnsi="Times New Roman" w:cs="Times New Roman"/>
          <w:color w:val="000000" w:themeColor="text1"/>
          <w:sz w:val="24"/>
          <w:szCs w:val="24"/>
        </w:rPr>
        <w:t>n additional</w:t>
      </w:r>
      <w:r w:rsidRPr="008768A2">
        <w:rPr>
          <w:rFonts w:ascii="Times New Roman" w:hAnsi="Times New Roman" w:cs="Times New Roman"/>
          <w:color w:val="000000" w:themeColor="text1"/>
          <w:sz w:val="24"/>
          <w:szCs w:val="24"/>
        </w:rPr>
        <w:t xml:space="preserve"> letter evaluating the case</w:t>
      </w:r>
      <w:r w:rsidR="005D304A" w:rsidRPr="008768A2">
        <w:rPr>
          <w:rFonts w:ascii="Times New Roman" w:hAnsi="Times New Roman" w:cs="Times New Roman"/>
          <w:color w:val="000000" w:themeColor="text1"/>
          <w:sz w:val="24"/>
          <w:szCs w:val="24"/>
        </w:rPr>
        <w:t xml:space="preserve">, including </w:t>
      </w:r>
      <w:proofErr w:type="gramStart"/>
      <w:r w:rsidR="005D304A" w:rsidRPr="008768A2">
        <w:rPr>
          <w:rFonts w:ascii="Times New Roman" w:hAnsi="Times New Roman" w:cs="Times New Roman"/>
          <w:color w:val="000000" w:themeColor="text1"/>
          <w:sz w:val="24"/>
          <w:szCs w:val="24"/>
        </w:rPr>
        <w:t>all of</w:t>
      </w:r>
      <w:proofErr w:type="gramEnd"/>
      <w:r w:rsidR="005D304A" w:rsidRPr="008768A2">
        <w:rPr>
          <w:rFonts w:ascii="Times New Roman" w:hAnsi="Times New Roman" w:cs="Times New Roman"/>
          <w:color w:val="000000" w:themeColor="text1"/>
          <w:sz w:val="24"/>
          <w:szCs w:val="24"/>
        </w:rPr>
        <w:t xml:space="preserve"> the materials the candidate has submitted for promotion</w:t>
      </w:r>
      <w:r w:rsidRPr="008768A2">
        <w:rPr>
          <w:rFonts w:ascii="Times New Roman" w:hAnsi="Times New Roman" w:cs="Times New Roman"/>
          <w:color w:val="000000" w:themeColor="text1"/>
          <w:sz w:val="24"/>
          <w:szCs w:val="24"/>
        </w:rPr>
        <w:t xml:space="preserve">. These letters are included in the candidate’s portfolio. </w:t>
      </w:r>
    </w:p>
    <w:p w14:paraId="08E40E99" w14:textId="77777777" w:rsidR="00B823D3" w:rsidRPr="008768A2" w:rsidRDefault="00B823D3" w:rsidP="00DF2E0D">
      <w:pPr>
        <w:spacing w:line="240" w:lineRule="auto"/>
        <w:ind w:left="1440" w:right="1440"/>
        <w:rPr>
          <w:rFonts w:ascii="Times New Roman" w:hAnsi="Times New Roman" w:cs="Times New Roman"/>
          <w:color w:val="000000" w:themeColor="text1"/>
          <w:sz w:val="24"/>
          <w:szCs w:val="24"/>
        </w:rPr>
      </w:pPr>
    </w:p>
    <w:p w14:paraId="15E65F48" w14:textId="77777777" w:rsidR="00B823D3" w:rsidRPr="008768A2" w:rsidRDefault="00B823D3" w:rsidP="00B823D3">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The portfolio is then submitted to the vice dean of the candidate’s division, who prepares an independent letter evaluating the case in relation to the MLFTC SoAs. The vice dean provides a recommendation for or against promotion including a rationale for their recommendation.</w:t>
      </w:r>
    </w:p>
    <w:p w14:paraId="0B72FEE3" w14:textId="77777777" w:rsidR="00DF2E0D" w:rsidRPr="008768A2" w:rsidRDefault="00DF2E0D" w:rsidP="00DF2E0D">
      <w:pPr>
        <w:spacing w:line="240" w:lineRule="auto"/>
        <w:ind w:left="1440" w:right="1440"/>
        <w:rPr>
          <w:rFonts w:ascii="Times New Roman" w:hAnsi="Times New Roman" w:cs="Times New Roman"/>
          <w:color w:val="000000" w:themeColor="text1"/>
          <w:sz w:val="24"/>
          <w:szCs w:val="24"/>
        </w:rPr>
      </w:pPr>
    </w:p>
    <w:p w14:paraId="79820E64" w14:textId="6B47DE59" w:rsidR="00DF2E0D" w:rsidRPr="008768A2" w:rsidRDefault="00B823D3"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Thereafter, </w:t>
      </w:r>
      <w:r w:rsidR="00DF2E0D" w:rsidRPr="008768A2">
        <w:rPr>
          <w:rFonts w:ascii="Times New Roman" w:hAnsi="Times New Roman" w:cs="Times New Roman"/>
          <w:color w:val="000000" w:themeColor="text1"/>
          <w:sz w:val="24"/>
          <w:szCs w:val="24"/>
        </w:rPr>
        <w:t xml:space="preserve">an ad hoc </w:t>
      </w:r>
      <w:r w:rsidR="0070588F" w:rsidRPr="008768A2">
        <w:rPr>
          <w:rFonts w:ascii="Times New Roman" w:hAnsi="Times New Roman" w:cs="Times New Roman"/>
          <w:color w:val="000000" w:themeColor="text1"/>
          <w:sz w:val="24"/>
          <w:szCs w:val="24"/>
        </w:rPr>
        <w:t>five</w:t>
      </w:r>
      <w:r w:rsidR="00DF2E0D" w:rsidRPr="008768A2">
        <w:rPr>
          <w:rFonts w:ascii="Times New Roman" w:hAnsi="Times New Roman" w:cs="Times New Roman"/>
          <w:color w:val="000000" w:themeColor="text1"/>
          <w:sz w:val="24"/>
          <w:szCs w:val="24"/>
        </w:rPr>
        <w:t xml:space="preserve">-person PEC of faculty members will evaluate the candidate's case in lieu of </w:t>
      </w:r>
      <w:r w:rsidR="0070588F" w:rsidRPr="008768A2">
        <w:rPr>
          <w:rFonts w:ascii="Times New Roman" w:hAnsi="Times New Roman" w:cs="Times New Roman"/>
          <w:color w:val="000000" w:themeColor="text1"/>
          <w:sz w:val="24"/>
          <w:szCs w:val="24"/>
        </w:rPr>
        <w:t>either t</w:t>
      </w:r>
      <w:r w:rsidR="00DF2E0D" w:rsidRPr="008768A2">
        <w:rPr>
          <w:rFonts w:ascii="Times New Roman" w:hAnsi="Times New Roman" w:cs="Times New Roman"/>
          <w:color w:val="000000" w:themeColor="text1"/>
          <w:sz w:val="24"/>
          <w:szCs w:val="24"/>
        </w:rPr>
        <w:t xml:space="preserve">he </w:t>
      </w:r>
      <w:r w:rsidR="0070588F" w:rsidRPr="008768A2">
        <w:rPr>
          <w:rFonts w:ascii="Times New Roman" w:hAnsi="Times New Roman" w:cs="Times New Roman"/>
          <w:color w:val="000000" w:themeColor="text1"/>
          <w:sz w:val="24"/>
          <w:szCs w:val="24"/>
        </w:rPr>
        <w:t>TTE</w:t>
      </w:r>
      <w:r w:rsidR="000F7916" w:rsidRPr="008768A2">
        <w:rPr>
          <w:rFonts w:ascii="Times New Roman" w:hAnsi="Times New Roman" w:cs="Times New Roman"/>
          <w:color w:val="000000" w:themeColor="text1"/>
          <w:sz w:val="24"/>
          <w:szCs w:val="24"/>
        </w:rPr>
        <w:t xml:space="preserve"> PEC</w:t>
      </w:r>
      <w:r w:rsidR="0070588F" w:rsidRPr="008768A2">
        <w:rPr>
          <w:rFonts w:ascii="Times New Roman" w:hAnsi="Times New Roman" w:cs="Times New Roman"/>
          <w:color w:val="000000" w:themeColor="text1"/>
          <w:sz w:val="24"/>
          <w:szCs w:val="24"/>
        </w:rPr>
        <w:t xml:space="preserve"> or </w:t>
      </w:r>
      <w:r w:rsidR="00DF2E0D" w:rsidRPr="008768A2">
        <w:rPr>
          <w:rFonts w:ascii="Times New Roman" w:hAnsi="Times New Roman" w:cs="Times New Roman"/>
          <w:color w:val="000000" w:themeColor="text1"/>
          <w:sz w:val="24"/>
          <w:szCs w:val="24"/>
        </w:rPr>
        <w:t>CT PEC. Th</w:t>
      </w:r>
      <w:r w:rsidR="0042627D" w:rsidRPr="008768A2">
        <w:rPr>
          <w:rFonts w:ascii="Times New Roman" w:hAnsi="Times New Roman" w:cs="Times New Roman"/>
          <w:color w:val="000000" w:themeColor="text1"/>
          <w:sz w:val="24"/>
          <w:szCs w:val="24"/>
        </w:rPr>
        <w:t>e</w:t>
      </w:r>
      <w:r w:rsidR="00DF2E0D" w:rsidRPr="008768A2">
        <w:rPr>
          <w:rFonts w:ascii="Times New Roman" w:hAnsi="Times New Roman" w:cs="Times New Roman"/>
          <w:color w:val="000000" w:themeColor="text1"/>
          <w:sz w:val="24"/>
          <w:szCs w:val="24"/>
        </w:rPr>
        <w:t xml:space="preserve"> ad hoc committee</w:t>
      </w:r>
      <w:r w:rsidR="0042627D" w:rsidRPr="008768A2">
        <w:rPr>
          <w:rFonts w:ascii="Times New Roman" w:hAnsi="Times New Roman" w:cs="Times New Roman"/>
          <w:color w:val="000000" w:themeColor="text1"/>
          <w:sz w:val="24"/>
          <w:szCs w:val="24"/>
        </w:rPr>
        <w:t xml:space="preserve"> for candidates seeking promotion to associate research professor</w:t>
      </w:r>
      <w:r w:rsidR="00DF2E0D" w:rsidRPr="008768A2">
        <w:rPr>
          <w:rFonts w:ascii="Times New Roman" w:hAnsi="Times New Roman" w:cs="Times New Roman"/>
          <w:color w:val="000000" w:themeColor="text1"/>
          <w:sz w:val="24"/>
          <w:szCs w:val="24"/>
        </w:rPr>
        <w:t xml:space="preserve"> </w:t>
      </w:r>
      <w:r w:rsidR="002A5D77" w:rsidRPr="008768A2">
        <w:rPr>
          <w:rFonts w:ascii="Times New Roman" w:hAnsi="Times New Roman" w:cs="Times New Roman"/>
          <w:color w:val="000000" w:themeColor="text1"/>
          <w:sz w:val="24"/>
          <w:szCs w:val="24"/>
        </w:rPr>
        <w:t xml:space="preserve">must </w:t>
      </w:r>
      <w:r w:rsidR="0042627D" w:rsidRPr="008768A2">
        <w:rPr>
          <w:rFonts w:ascii="Times New Roman" w:hAnsi="Times New Roman" w:cs="Times New Roman"/>
          <w:color w:val="000000" w:themeColor="text1"/>
          <w:sz w:val="24"/>
          <w:szCs w:val="24"/>
        </w:rPr>
        <w:t xml:space="preserve">include research associate professors, research professors, or TTE faculty at the rank of associate </w:t>
      </w:r>
      <w:r w:rsidR="00872091" w:rsidRPr="008768A2">
        <w:rPr>
          <w:rFonts w:ascii="Times New Roman" w:hAnsi="Times New Roman" w:cs="Times New Roman"/>
          <w:color w:val="000000" w:themeColor="text1"/>
          <w:sz w:val="24"/>
          <w:szCs w:val="24"/>
        </w:rPr>
        <w:t xml:space="preserve">professor </w:t>
      </w:r>
      <w:r w:rsidR="0042627D" w:rsidRPr="008768A2">
        <w:rPr>
          <w:rFonts w:ascii="Times New Roman" w:hAnsi="Times New Roman" w:cs="Times New Roman"/>
          <w:color w:val="000000" w:themeColor="text1"/>
          <w:sz w:val="24"/>
          <w:szCs w:val="24"/>
        </w:rPr>
        <w:t>or professor</w:t>
      </w:r>
      <w:r w:rsidR="00114DDA" w:rsidRPr="008768A2">
        <w:rPr>
          <w:rFonts w:ascii="Times New Roman" w:hAnsi="Times New Roman" w:cs="Times New Roman"/>
          <w:color w:val="000000" w:themeColor="text1"/>
          <w:sz w:val="24"/>
          <w:szCs w:val="24"/>
        </w:rPr>
        <w:t xml:space="preserve">. </w:t>
      </w:r>
      <w:r w:rsidR="00872091" w:rsidRPr="008768A2">
        <w:rPr>
          <w:rFonts w:ascii="Times New Roman" w:hAnsi="Times New Roman" w:cs="Times New Roman"/>
          <w:color w:val="000000" w:themeColor="text1"/>
          <w:sz w:val="24"/>
          <w:szCs w:val="24"/>
        </w:rPr>
        <w:t>The ad hoc committee</w:t>
      </w:r>
      <w:r w:rsidRPr="008768A2">
        <w:rPr>
          <w:rFonts w:ascii="Times New Roman" w:hAnsi="Times New Roman" w:cs="Times New Roman"/>
          <w:color w:val="000000" w:themeColor="text1"/>
          <w:sz w:val="24"/>
          <w:szCs w:val="24"/>
        </w:rPr>
        <w:t xml:space="preserve"> must include at least one tenured full professor</w:t>
      </w:r>
      <w:r w:rsidR="00872091" w:rsidRPr="008768A2">
        <w:rPr>
          <w:rFonts w:ascii="Times New Roman" w:hAnsi="Times New Roman" w:cs="Times New Roman"/>
          <w:color w:val="000000" w:themeColor="text1"/>
          <w:sz w:val="24"/>
          <w:szCs w:val="24"/>
        </w:rPr>
        <w:t>, and one tenured professor must serve as committee chair</w:t>
      </w:r>
      <w:r w:rsidRPr="008768A2">
        <w:rPr>
          <w:rFonts w:ascii="Times New Roman" w:hAnsi="Times New Roman" w:cs="Times New Roman"/>
          <w:color w:val="000000" w:themeColor="text1"/>
          <w:sz w:val="24"/>
          <w:szCs w:val="24"/>
        </w:rPr>
        <w:t xml:space="preserve">. </w:t>
      </w:r>
      <w:r w:rsidR="00872091" w:rsidRPr="008768A2">
        <w:rPr>
          <w:rFonts w:ascii="Times New Roman" w:hAnsi="Times New Roman" w:cs="Times New Roman"/>
          <w:color w:val="000000" w:themeColor="text1"/>
          <w:sz w:val="24"/>
          <w:szCs w:val="24"/>
        </w:rPr>
        <w:t xml:space="preserve">In sum, </w:t>
      </w:r>
      <w:r w:rsidR="00700796" w:rsidRPr="008768A2">
        <w:rPr>
          <w:rFonts w:ascii="Times New Roman" w:hAnsi="Times New Roman" w:cs="Times New Roman"/>
          <w:color w:val="000000" w:themeColor="text1"/>
          <w:sz w:val="24"/>
          <w:szCs w:val="24"/>
        </w:rPr>
        <w:t>c</w:t>
      </w:r>
      <w:r w:rsidR="000F7916" w:rsidRPr="008768A2">
        <w:rPr>
          <w:rFonts w:ascii="Times New Roman" w:hAnsi="Times New Roman" w:cs="Times New Roman"/>
          <w:color w:val="000000" w:themeColor="text1"/>
          <w:sz w:val="24"/>
          <w:szCs w:val="24"/>
        </w:rPr>
        <w:t>ommittee</w:t>
      </w:r>
      <w:r w:rsidRPr="008768A2">
        <w:rPr>
          <w:rFonts w:ascii="Times New Roman" w:hAnsi="Times New Roman" w:cs="Times New Roman"/>
          <w:color w:val="000000" w:themeColor="text1"/>
          <w:sz w:val="24"/>
          <w:szCs w:val="24"/>
        </w:rPr>
        <w:t xml:space="preserve"> </w:t>
      </w:r>
      <w:r w:rsidR="00114DDA" w:rsidRPr="008768A2">
        <w:rPr>
          <w:rFonts w:ascii="Times New Roman" w:hAnsi="Times New Roman" w:cs="Times New Roman"/>
          <w:color w:val="000000" w:themeColor="text1"/>
          <w:sz w:val="24"/>
          <w:szCs w:val="24"/>
        </w:rPr>
        <w:t>members must</w:t>
      </w:r>
      <w:r w:rsidR="0042627D" w:rsidRPr="008768A2">
        <w:rPr>
          <w:rFonts w:ascii="Times New Roman" w:hAnsi="Times New Roman" w:cs="Times New Roman"/>
          <w:color w:val="000000" w:themeColor="text1"/>
          <w:sz w:val="24"/>
          <w:szCs w:val="24"/>
        </w:rPr>
        <w:t xml:space="preserve"> include one member of the TTE PEC (selected by members of the TTE PEC), one TTE member of the CT PEC (selected by members of the CT PEC), and three other members elected via the procedures established by MLFTC’s Governance Committee. </w:t>
      </w:r>
      <w:r w:rsidR="00DF2E0D" w:rsidRPr="008768A2">
        <w:rPr>
          <w:rFonts w:ascii="Times New Roman" w:hAnsi="Times New Roman" w:cs="Times New Roman"/>
          <w:color w:val="000000" w:themeColor="text1"/>
          <w:sz w:val="24"/>
          <w:szCs w:val="24"/>
        </w:rPr>
        <w:t xml:space="preserve">Whenever possible, </w:t>
      </w:r>
      <w:r w:rsidRPr="008768A2">
        <w:rPr>
          <w:rFonts w:ascii="Times New Roman" w:hAnsi="Times New Roman" w:cs="Times New Roman"/>
          <w:color w:val="000000" w:themeColor="text1"/>
          <w:sz w:val="24"/>
          <w:szCs w:val="24"/>
        </w:rPr>
        <w:t xml:space="preserve">ad hoc </w:t>
      </w:r>
      <w:r w:rsidR="00DF2E0D" w:rsidRPr="008768A2">
        <w:rPr>
          <w:rFonts w:ascii="Times New Roman" w:hAnsi="Times New Roman" w:cs="Times New Roman"/>
          <w:color w:val="000000" w:themeColor="text1"/>
          <w:sz w:val="24"/>
          <w:szCs w:val="24"/>
        </w:rPr>
        <w:t>committee members should be those familiar with the candidate's work</w:t>
      </w:r>
      <w:r w:rsidRPr="008768A2">
        <w:rPr>
          <w:rFonts w:ascii="Times New Roman" w:hAnsi="Times New Roman" w:cs="Times New Roman"/>
          <w:color w:val="000000" w:themeColor="text1"/>
          <w:sz w:val="24"/>
          <w:szCs w:val="24"/>
        </w:rPr>
        <w:t xml:space="preserve"> with</w:t>
      </w:r>
      <w:r w:rsidR="000F7916" w:rsidRPr="008768A2">
        <w:rPr>
          <w:rFonts w:ascii="Times New Roman" w:hAnsi="Times New Roman" w:cs="Times New Roman"/>
          <w:color w:val="000000" w:themeColor="text1"/>
          <w:sz w:val="24"/>
          <w:szCs w:val="24"/>
        </w:rPr>
        <w:t xml:space="preserve"> </w:t>
      </w:r>
      <w:r w:rsidR="00DF2E0D" w:rsidRPr="008768A2">
        <w:rPr>
          <w:rFonts w:ascii="Times New Roman" w:hAnsi="Times New Roman" w:cs="Times New Roman"/>
          <w:color w:val="000000" w:themeColor="text1"/>
          <w:sz w:val="24"/>
          <w:szCs w:val="24"/>
        </w:rPr>
        <w:t xml:space="preserve">at least one person on the committee </w:t>
      </w:r>
      <w:r w:rsidRPr="008768A2">
        <w:rPr>
          <w:rFonts w:ascii="Times New Roman" w:hAnsi="Times New Roman" w:cs="Times New Roman"/>
          <w:color w:val="000000" w:themeColor="text1"/>
          <w:sz w:val="24"/>
          <w:szCs w:val="24"/>
        </w:rPr>
        <w:t>with</w:t>
      </w:r>
      <w:r w:rsidR="00DF2E0D" w:rsidRPr="008768A2">
        <w:rPr>
          <w:rFonts w:ascii="Times New Roman" w:hAnsi="Times New Roman" w:cs="Times New Roman"/>
          <w:color w:val="000000" w:themeColor="text1"/>
          <w:sz w:val="24"/>
          <w:szCs w:val="24"/>
        </w:rPr>
        <w:t xml:space="preserve"> direct knowledge of the candidate's research/scholarship. </w:t>
      </w:r>
    </w:p>
    <w:p w14:paraId="003A9E59" w14:textId="77777777" w:rsidR="00114DDA" w:rsidRPr="008768A2" w:rsidRDefault="00114DDA" w:rsidP="00DF2E0D">
      <w:pPr>
        <w:spacing w:line="240" w:lineRule="auto"/>
        <w:ind w:left="1440" w:right="1440"/>
        <w:rPr>
          <w:rFonts w:ascii="Times New Roman" w:hAnsi="Times New Roman" w:cs="Times New Roman"/>
          <w:color w:val="000000" w:themeColor="text1"/>
          <w:sz w:val="24"/>
          <w:szCs w:val="24"/>
        </w:rPr>
      </w:pPr>
    </w:p>
    <w:p w14:paraId="2791EAA6" w14:textId="72099E9B" w:rsidR="00114DDA" w:rsidRPr="008768A2" w:rsidRDefault="00114DDA"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ad hoc committee for candidates seeking promotion to research professor must include research professors or </w:t>
      </w:r>
      <w:r w:rsidR="00872091" w:rsidRPr="008768A2">
        <w:rPr>
          <w:rFonts w:ascii="Times New Roman" w:hAnsi="Times New Roman" w:cs="Times New Roman"/>
          <w:color w:val="000000" w:themeColor="text1"/>
          <w:sz w:val="24"/>
          <w:szCs w:val="24"/>
        </w:rPr>
        <w:t>tenured</w:t>
      </w:r>
      <w:r w:rsidRPr="008768A2">
        <w:rPr>
          <w:rFonts w:ascii="Times New Roman" w:hAnsi="Times New Roman" w:cs="Times New Roman"/>
          <w:color w:val="000000" w:themeColor="text1"/>
          <w:sz w:val="24"/>
          <w:szCs w:val="24"/>
        </w:rPr>
        <w:t xml:space="preserve"> professor</w:t>
      </w:r>
      <w:r w:rsidR="00872091" w:rsidRPr="008768A2">
        <w:rPr>
          <w:rFonts w:ascii="Times New Roman" w:hAnsi="Times New Roman" w:cs="Times New Roman"/>
          <w:color w:val="000000" w:themeColor="text1"/>
          <w:sz w:val="24"/>
          <w:szCs w:val="24"/>
        </w:rPr>
        <w:t>s, and one tenured professor must serve as committee chair</w:t>
      </w:r>
      <w:r w:rsidRPr="008768A2">
        <w:rPr>
          <w:rFonts w:ascii="Times New Roman" w:hAnsi="Times New Roman" w:cs="Times New Roman"/>
          <w:color w:val="000000" w:themeColor="text1"/>
          <w:sz w:val="24"/>
          <w:szCs w:val="24"/>
        </w:rPr>
        <w:t>.</w:t>
      </w:r>
      <w:r w:rsidR="00872091" w:rsidRPr="008768A2">
        <w:rPr>
          <w:rFonts w:ascii="Times New Roman" w:hAnsi="Times New Roman" w:cs="Times New Roman"/>
          <w:color w:val="000000" w:themeColor="text1"/>
          <w:sz w:val="24"/>
          <w:szCs w:val="24"/>
        </w:rPr>
        <w:t xml:space="preserve"> In sum, c</w:t>
      </w:r>
      <w:r w:rsidRPr="008768A2">
        <w:rPr>
          <w:rFonts w:ascii="Times New Roman" w:hAnsi="Times New Roman" w:cs="Times New Roman"/>
          <w:color w:val="000000" w:themeColor="text1"/>
          <w:sz w:val="24"/>
          <w:szCs w:val="24"/>
        </w:rPr>
        <w:t>ommittee members should include one full professor sitting on the TTE PEC (selected by members of the TTE PEC), one full professor sitting on the CT PEC (if applicable, and selected by members of the CT PEC), and three (or four</w:t>
      </w:r>
      <w:r w:rsidR="000F7916" w:rsidRPr="008768A2">
        <w:rPr>
          <w:rFonts w:ascii="Times New Roman" w:hAnsi="Times New Roman" w:cs="Times New Roman"/>
          <w:color w:val="000000" w:themeColor="text1"/>
          <w:sz w:val="24"/>
          <w:szCs w:val="24"/>
        </w:rPr>
        <w:t xml:space="preserve"> if a professor sitting on the CT PEC is not available</w:t>
      </w:r>
      <w:r w:rsidRPr="008768A2">
        <w:rPr>
          <w:rFonts w:ascii="Times New Roman" w:hAnsi="Times New Roman" w:cs="Times New Roman"/>
          <w:color w:val="000000" w:themeColor="text1"/>
          <w:sz w:val="24"/>
          <w:szCs w:val="24"/>
        </w:rPr>
        <w:t>) other members elected via the procedures established by MLFTC’s Governance Committee. Whenever possible, ad hoc committee members should be those familiar with the candidate's work with, ideally, at least one person on the committee with direct knowledge of the candidate's research/scholarship.</w:t>
      </w:r>
    </w:p>
    <w:p w14:paraId="30D28800" w14:textId="77777777" w:rsidR="00B823D3" w:rsidRPr="008768A2" w:rsidRDefault="00B823D3" w:rsidP="00DF2E0D">
      <w:pPr>
        <w:spacing w:line="240" w:lineRule="auto"/>
        <w:ind w:left="1440" w:right="1440"/>
        <w:rPr>
          <w:rFonts w:ascii="Times New Roman" w:hAnsi="Times New Roman" w:cs="Times New Roman"/>
          <w:color w:val="000000" w:themeColor="text1"/>
          <w:sz w:val="24"/>
          <w:szCs w:val="24"/>
        </w:rPr>
      </w:pPr>
    </w:p>
    <w:p w14:paraId="0D6F15D5" w14:textId="33AE69EA" w:rsidR="00DF2E0D"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After reviewing the portfolio, the ad hoc PEC members vote on whether to recommend promotion. The committee then prepares a written report that outlines the candidate's strengths and weaknesses in relation to the SoAs and provides a recommendation for or against promotion, including a rationale for this recommendation. The vote of the ad hoc PEC must be indicated in the written report. If the committee’s vote for promotion is not unanimous, the report should reflect these judgments and provide majority and minority opinions. This written report </w:t>
      </w:r>
      <w:r w:rsidR="00B823D3" w:rsidRPr="008768A2">
        <w:rPr>
          <w:rFonts w:ascii="Times New Roman" w:hAnsi="Times New Roman" w:cs="Times New Roman"/>
          <w:color w:val="000000" w:themeColor="text1"/>
          <w:sz w:val="24"/>
          <w:szCs w:val="24"/>
        </w:rPr>
        <w:t>will</w:t>
      </w:r>
      <w:r w:rsidRPr="008768A2">
        <w:rPr>
          <w:rFonts w:ascii="Times New Roman" w:hAnsi="Times New Roman" w:cs="Times New Roman"/>
          <w:color w:val="000000" w:themeColor="text1"/>
          <w:sz w:val="24"/>
          <w:szCs w:val="24"/>
        </w:rPr>
        <w:t xml:space="preserve"> be </w:t>
      </w:r>
      <w:r w:rsidRPr="008768A2">
        <w:rPr>
          <w:rFonts w:ascii="Times New Roman" w:hAnsi="Times New Roman" w:cs="Times New Roman"/>
          <w:color w:val="000000" w:themeColor="text1"/>
          <w:sz w:val="24"/>
          <w:szCs w:val="24"/>
        </w:rPr>
        <w:lastRenderedPageBreak/>
        <w:t xml:space="preserve">reviewed, discussed, and signed by the </w:t>
      </w:r>
      <w:r w:rsidR="005D304A" w:rsidRPr="008768A2">
        <w:rPr>
          <w:rFonts w:ascii="Times New Roman" w:hAnsi="Times New Roman" w:cs="Times New Roman"/>
          <w:color w:val="000000" w:themeColor="text1"/>
          <w:sz w:val="24"/>
          <w:szCs w:val="24"/>
        </w:rPr>
        <w:t>reviewing</w:t>
      </w:r>
      <w:r w:rsidRPr="008768A2">
        <w:rPr>
          <w:rFonts w:ascii="Times New Roman" w:hAnsi="Times New Roman" w:cs="Times New Roman"/>
          <w:color w:val="000000" w:themeColor="text1"/>
          <w:sz w:val="24"/>
          <w:szCs w:val="24"/>
        </w:rPr>
        <w:t xml:space="preserve"> committee prior to placing it in the faculty member's file.</w:t>
      </w:r>
    </w:p>
    <w:p w14:paraId="79A53776" w14:textId="77777777" w:rsidR="00DF2E0D" w:rsidRPr="008768A2" w:rsidRDefault="00DF2E0D" w:rsidP="00DF2E0D">
      <w:pPr>
        <w:spacing w:line="240" w:lineRule="auto"/>
        <w:ind w:left="1440" w:right="1440"/>
        <w:rPr>
          <w:rFonts w:ascii="Times New Roman" w:hAnsi="Times New Roman" w:cs="Times New Roman"/>
          <w:color w:val="000000" w:themeColor="text1"/>
          <w:sz w:val="24"/>
          <w:szCs w:val="24"/>
        </w:rPr>
      </w:pPr>
    </w:p>
    <w:p w14:paraId="524D94B7" w14:textId="58FCEA9E" w:rsidR="00DF2E0D"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file is then forwarded to the dean, who reviews the candidate’s dossier and prepares a report that outlines their strengths and weaknesses, also in relation to the SoAs. The dean provides a recommendation for or against promotion including a rationale for their recommendation. Unless the candidate chooses to withdraw from further consideration at this point, the portfolio including all college-level letters is submitted to the </w:t>
      </w:r>
      <w:r w:rsidR="00102DC9" w:rsidRPr="008768A2">
        <w:rPr>
          <w:rFonts w:ascii="Times New Roman" w:hAnsi="Times New Roman" w:cs="Times New Roman"/>
          <w:color w:val="000000" w:themeColor="text1"/>
          <w:sz w:val="24"/>
          <w:szCs w:val="24"/>
        </w:rPr>
        <w:t>ASU</w:t>
      </w:r>
      <w:r w:rsidRPr="008768A2">
        <w:rPr>
          <w:rFonts w:ascii="Times New Roman" w:hAnsi="Times New Roman" w:cs="Times New Roman"/>
          <w:color w:val="000000" w:themeColor="text1"/>
          <w:sz w:val="24"/>
          <w:szCs w:val="24"/>
        </w:rPr>
        <w:t xml:space="preserve"> provost by the deadline indicated on the Schedule of Academic Personnel Actions. </w:t>
      </w:r>
    </w:p>
    <w:p w14:paraId="054F0B39" w14:textId="77777777" w:rsidR="00DF2E0D" w:rsidRPr="008768A2" w:rsidRDefault="00DF2E0D" w:rsidP="00DF2E0D">
      <w:pPr>
        <w:spacing w:line="240" w:lineRule="auto"/>
        <w:ind w:left="1440" w:right="1440"/>
        <w:rPr>
          <w:rFonts w:ascii="Times New Roman" w:hAnsi="Times New Roman" w:cs="Times New Roman"/>
          <w:color w:val="000000" w:themeColor="text1"/>
          <w:sz w:val="24"/>
          <w:szCs w:val="24"/>
        </w:rPr>
      </w:pPr>
    </w:p>
    <w:p w14:paraId="446E3BE9" w14:textId="2E5905F6" w:rsidR="00DF2E0D"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The </w:t>
      </w:r>
      <w:r w:rsidR="00014D0D" w:rsidRPr="008768A2">
        <w:rPr>
          <w:rFonts w:ascii="Times New Roman" w:hAnsi="Times New Roman" w:cs="Times New Roman"/>
          <w:color w:val="000000" w:themeColor="text1"/>
          <w:sz w:val="24"/>
          <w:szCs w:val="24"/>
        </w:rPr>
        <w:t xml:space="preserve">ad hoc </w:t>
      </w:r>
      <w:r w:rsidRPr="008768A2">
        <w:rPr>
          <w:rFonts w:ascii="Times New Roman" w:hAnsi="Times New Roman" w:cs="Times New Roman"/>
          <w:color w:val="000000" w:themeColor="text1"/>
          <w:sz w:val="24"/>
          <w:szCs w:val="24"/>
        </w:rPr>
        <w:t xml:space="preserve">PEC, vice dean, and dean will consider all information presented in the faculty member’s portfolio and analyses from </w:t>
      </w:r>
      <w:r w:rsidR="00066A30" w:rsidRPr="008768A2">
        <w:rPr>
          <w:rFonts w:ascii="Times New Roman" w:hAnsi="Times New Roman" w:cs="Times New Roman"/>
          <w:color w:val="000000" w:themeColor="text1"/>
          <w:sz w:val="24"/>
          <w:szCs w:val="24"/>
        </w:rPr>
        <w:t>the candidate’s</w:t>
      </w:r>
      <w:r w:rsidRPr="008768A2">
        <w:rPr>
          <w:rFonts w:ascii="Times New Roman" w:hAnsi="Times New Roman" w:cs="Times New Roman"/>
          <w:color w:val="000000" w:themeColor="text1"/>
          <w:sz w:val="24"/>
          <w:szCs w:val="24"/>
        </w:rPr>
        <w:t xml:space="preserve"> reviewers. </w:t>
      </w:r>
    </w:p>
    <w:p w14:paraId="53FD27F2" w14:textId="77777777" w:rsidR="00DF2E0D" w:rsidRPr="008768A2" w:rsidRDefault="00DF2E0D" w:rsidP="00DF2E0D">
      <w:pPr>
        <w:spacing w:line="240" w:lineRule="auto"/>
        <w:ind w:left="1440" w:right="1440"/>
        <w:rPr>
          <w:rFonts w:ascii="Times New Roman" w:hAnsi="Times New Roman" w:cs="Times New Roman"/>
          <w:color w:val="000000" w:themeColor="text1"/>
          <w:sz w:val="24"/>
          <w:szCs w:val="24"/>
        </w:rPr>
      </w:pPr>
    </w:p>
    <w:p w14:paraId="349AD736" w14:textId="6209155A" w:rsidR="004657F8" w:rsidRPr="008768A2" w:rsidRDefault="00DF2E0D" w:rsidP="00DF2E0D">
      <w:pPr>
        <w:spacing w:line="240" w:lineRule="auto"/>
        <w:ind w:left="1440" w:right="1440"/>
        <w:rPr>
          <w:rFonts w:ascii="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 xml:space="preserve">Please see the </w:t>
      </w:r>
      <w:r w:rsidR="00102DC9" w:rsidRPr="008768A2">
        <w:rPr>
          <w:rFonts w:ascii="Times New Roman" w:hAnsi="Times New Roman" w:cs="Times New Roman"/>
          <w:color w:val="000000" w:themeColor="text1"/>
          <w:sz w:val="24"/>
          <w:szCs w:val="24"/>
        </w:rPr>
        <w:t>ASU</w:t>
      </w:r>
      <w:r w:rsidRPr="008768A2">
        <w:rPr>
          <w:rFonts w:ascii="Times New Roman" w:hAnsi="Times New Roman" w:cs="Times New Roman"/>
          <w:color w:val="000000" w:themeColor="text1"/>
          <w:sz w:val="24"/>
          <w:szCs w:val="24"/>
        </w:rPr>
        <w:t xml:space="preserve"> provost's “</w:t>
      </w:r>
      <w:hyperlink r:id="rId83">
        <w:r w:rsidRPr="00DF2E0D">
          <w:rPr>
            <w:rStyle w:val="Hyperlink"/>
            <w:rFonts w:ascii="Times New Roman" w:hAnsi="Times New Roman" w:cs="Times New Roman"/>
            <w:sz w:val="24"/>
            <w:szCs w:val="24"/>
          </w:rPr>
          <w:t>Personnel Processes</w:t>
        </w:r>
      </w:hyperlink>
      <w:r w:rsidRPr="008768A2">
        <w:rPr>
          <w:rFonts w:ascii="Times New Roman" w:hAnsi="Times New Roman" w:cs="Times New Roman"/>
          <w:color w:val="000000" w:themeColor="text1"/>
          <w:sz w:val="24"/>
          <w:szCs w:val="24"/>
        </w:rPr>
        <w:t>” site, under Faculty Process Guides for more information on file requirements.</w:t>
      </w:r>
    </w:p>
    <w:p w14:paraId="5420C3AD" w14:textId="22D79105" w:rsidR="004657F8" w:rsidRPr="008768A2" w:rsidRDefault="004657F8" w:rsidP="004657F8">
      <w:pPr>
        <w:pStyle w:val="Heading3"/>
        <w:widowControl w:val="0"/>
        <w:spacing w:after="0" w:line="240" w:lineRule="auto"/>
        <w:ind w:left="1440" w:right="1440"/>
        <w:rPr>
          <w:rFonts w:ascii="Times New Roman" w:hAnsi="Times New Roman" w:cs="Times New Roman"/>
          <w:b w:val="0"/>
          <w:color w:val="000000" w:themeColor="text1"/>
          <w:sz w:val="24"/>
          <w:szCs w:val="24"/>
        </w:rPr>
      </w:pPr>
      <w:r w:rsidRPr="008768A2">
        <w:rPr>
          <w:rFonts w:ascii="Times New Roman" w:eastAsia="Times New Roman" w:hAnsi="Times New Roman" w:cs="Times New Roman"/>
          <w:color w:val="000000" w:themeColor="text1"/>
        </w:rPr>
        <w:t>5.1.3 Promotion of Teaching Faculty</w:t>
      </w:r>
      <w:r w:rsidRPr="008768A2">
        <w:rPr>
          <w:rFonts w:ascii="Times New Roman" w:hAnsi="Times New Roman" w:cs="Times New Roman"/>
          <w:b w:val="0"/>
          <w:color w:val="000000" w:themeColor="text1"/>
          <w:sz w:val="24"/>
          <w:szCs w:val="24"/>
        </w:rPr>
        <w:t xml:space="preserve"> </w:t>
      </w:r>
    </w:p>
    <w:p w14:paraId="15D62A48" w14:textId="77777777" w:rsidR="004657F8" w:rsidRPr="008768A2" w:rsidRDefault="004657F8" w:rsidP="00DF2E0D">
      <w:pPr>
        <w:spacing w:line="240" w:lineRule="auto"/>
        <w:ind w:left="1440" w:right="1440"/>
        <w:rPr>
          <w:rFonts w:ascii="Times New Roman" w:hAnsi="Times New Roman" w:cs="Times New Roman"/>
          <w:color w:val="000000" w:themeColor="text1"/>
          <w:sz w:val="24"/>
          <w:szCs w:val="24"/>
        </w:rPr>
      </w:pPr>
    </w:p>
    <w:p w14:paraId="0152626D" w14:textId="683664C9" w:rsidR="00646C37" w:rsidRPr="008768A2" w:rsidRDefault="004657F8" w:rsidP="00202C0A">
      <w:pPr>
        <w:ind w:left="1440" w:right="1440"/>
        <w:rPr>
          <w:rFonts w:ascii="Times New Roman" w:eastAsia="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Because</w:t>
      </w:r>
      <w:r w:rsidRPr="008768A2">
        <w:rPr>
          <w:rFonts w:ascii="Times New Roman" w:eastAsia="Times New Roman" w:hAnsi="Times New Roman" w:cs="Times New Roman"/>
          <w:color w:val="000000" w:themeColor="text1"/>
          <w:sz w:val="24"/>
          <w:szCs w:val="24"/>
        </w:rPr>
        <w:t xml:space="preserve"> MLFTC does not </w:t>
      </w:r>
      <w:r w:rsidR="00476AC8" w:rsidRPr="008768A2">
        <w:rPr>
          <w:rFonts w:ascii="Times New Roman" w:eastAsia="Times New Roman" w:hAnsi="Times New Roman" w:cs="Times New Roman"/>
          <w:color w:val="000000" w:themeColor="text1"/>
          <w:sz w:val="24"/>
          <w:szCs w:val="24"/>
        </w:rPr>
        <w:t xml:space="preserve">currently </w:t>
      </w:r>
      <w:r w:rsidRPr="008768A2">
        <w:rPr>
          <w:rFonts w:ascii="Times New Roman" w:eastAsia="Times New Roman" w:hAnsi="Times New Roman" w:cs="Times New Roman"/>
          <w:color w:val="000000" w:themeColor="text1"/>
          <w:sz w:val="24"/>
          <w:szCs w:val="24"/>
        </w:rPr>
        <w:t xml:space="preserve">have any teaching faculty </w:t>
      </w:r>
      <w:r w:rsidR="0095665E" w:rsidRPr="008768A2">
        <w:rPr>
          <w:rFonts w:ascii="Times New Roman" w:eastAsia="Times New Roman" w:hAnsi="Times New Roman" w:cs="Times New Roman"/>
          <w:color w:val="000000" w:themeColor="text1"/>
          <w:sz w:val="24"/>
          <w:szCs w:val="24"/>
        </w:rPr>
        <w:t xml:space="preserve">below the rank of </w:t>
      </w:r>
      <w:r w:rsidR="00476AC8" w:rsidRPr="008768A2">
        <w:rPr>
          <w:rFonts w:ascii="Times New Roman" w:eastAsia="Times New Roman" w:hAnsi="Times New Roman" w:cs="Times New Roman"/>
          <w:color w:val="000000" w:themeColor="text1"/>
          <w:sz w:val="24"/>
          <w:szCs w:val="24"/>
        </w:rPr>
        <w:t>full teaching</w:t>
      </w:r>
      <w:r w:rsidR="0095665E" w:rsidRPr="008768A2">
        <w:rPr>
          <w:rFonts w:ascii="Times New Roman" w:eastAsia="Times New Roman" w:hAnsi="Times New Roman" w:cs="Times New Roman"/>
          <w:color w:val="000000" w:themeColor="text1"/>
          <w:sz w:val="24"/>
          <w:szCs w:val="24"/>
        </w:rPr>
        <w:t xml:space="preserve"> professor</w:t>
      </w:r>
      <w:r w:rsidRPr="008768A2">
        <w:rPr>
          <w:rFonts w:ascii="Times New Roman" w:eastAsia="Times New Roman" w:hAnsi="Times New Roman" w:cs="Times New Roman"/>
          <w:color w:val="000000" w:themeColor="text1"/>
          <w:sz w:val="24"/>
          <w:szCs w:val="24"/>
        </w:rPr>
        <w:t xml:space="preserve">, MLFTC’s SoAs are currently silent </w:t>
      </w:r>
      <w:r w:rsidR="003E6609">
        <w:rPr>
          <w:rFonts w:ascii="Times New Roman" w:eastAsia="Times New Roman" w:hAnsi="Times New Roman" w:cs="Times New Roman"/>
          <w:color w:val="000000" w:themeColor="text1"/>
          <w:sz w:val="24"/>
          <w:szCs w:val="24"/>
        </w:rPr>
        <w:t>on the</w:t>
      </w:r>
      <w:r w:rsidR="003E6609" w:rsidRPr="003E6609">
        <w:rPr>
          <w:rFonts w:ascii="Times New Roman" w:eastAsia="Times New Roman" w:hAnsi="Times New Roman" w:cs="Times New Roman"/>
          <w:color w:val="000000" w:themeColor="text1"/>
          <w:sz w:val="24"/>
          <w:szCs w:val="24"/>
        </w:rPr>
        <w:t xml:space="preserve"> </w:t>
      </w:r>
      <w:r w:rsidR="003E6609" w:rsidRPr="008768A2">
        <w:rPr>
          <w:rFonts w:ascii="Times New Roman" w:eastAsia="Times New Roman" w:hAnsi="Times New Roman" w:cs="Times New Roman"/>
          <w:color w:val="000000" w:themeColor="text1"/>
          <w:sz w:val="24"/>
          <w:szCs w:val="24"/>
        </w:rPr>
        <w:t xml:space="preserve">teaching faculty </w:t>
      </w:r>
      <w:r w:rsidR="003E6609">
        <w:rPr>
          <w:rFonts w:ascii="Times New Roman" w:eastAsia="Times New Roman" w:hAnsi="Times New Roman" w:cs="Times New Roman"/>
          <w:color w:val="000000" w:themeColor="text1"/>
          <w:sz w:val="24"/>
          <w:szCs w:val="24"/>
        </w:rPr>
        <w:t xml:space="preserve">members’ </w:t>
      </w:r>
      <w:r w:rsidR="003E6609" w:rsidRPr="008768A2">
        <w:rPr>
          <w:rFonts w:ascii="Times New Roman" w:eastAsia="Times New Roman" w:hAnsi="Times New Roman" w:cs="Times New Roman"/>
          <w:color w:val="000000" w:themeColor="text1"/>
          <w:sz w:val="24"/>
          <w:szCs w:val="24"/>
        </w:rPr>
        <w:t>promotion criteri</w:t>
      </w:r>
      <w:r w:rsidR="003E6609">
        <w:rPr>
          <w:rFonts w:ascii="Times New Roman" w:eastAsia="Times New Roman" w:hAnsi="Times New Roman" w:cs="Times New Roman"/>
          <w:color w:val="000000" w:themeColor="text1"/>
          <w:sz w:val="24"/>
          <w:szCs w:val="24"/>
        </w:rPr>
        <w:t>a,</w:t>
      </w:r>
      <w:r w:rsidR="003E6609" w:rsidRPr="008768A2">
        <w:rPr>
          <w:rFonts w:ascii="Times New Roman" w:eastAsia="Times New Roman" w:hAnsi="Times New Roman" w:cs="Times New Roman"/>
          <w:color w:val="000000" w:themeColor="text1"/>
          <w:sz w:val="24"/>
          <w:szCs w:val="24"/>
        </w:rPr>
        <w:t xml:space="preserve"> processes</w:t>
      </w:r>
      <w:r w:rsidR="003E6609">
        <w:rPr>
          <w:rFonts w:ascii="Times New Roman" w:eastAsia="Times New Roman" w:hAnsi="Times New Roman" w:cs="Times New Roman"/>
          <w:color w:val="000000" w:themeColor="text1"/>
          <w:sz w:val="24"/>
          <w:szCs w:val="24"/>
        </w:rPr>
        <w:t>,</w:t>
      </w:r>
      <w:r w:rsidR="003E6609" w:rsidRPr="008768A2">
        <w:rPr>
          <w:rFonts w:ascii="Times New Roman" w:eastAsia="Times New Roman" w:hAnsi="Times New Roman" w:cs="Times New Roman"/>
          <w:color w:val="000000" w:themeColor="text1"/>
          <w:sz w:val="24"/>
          <w:szCs w:val="24"/>
        </w:rPr>
        <w:t xml:space="preserve"> and procedures</w:t>
      </w:r>
      <w:r w:rsidRPr="008768A2">
        <w:rPr>
          <w:rFonts w:ascii="Times New Roman" w:eastAsia="Times New Roman" w:hAnsi="Times New Roman" w:cs="Times New Roman"/>
          <w:color w:val="000000" w:themeColor="text1"/>
          <w:sz w:val="24"/>
          <w:szCs w:val="24"/>
        </w:rPr>
        <w:t>.</w:t>
      </w:r>
    </w:p>
    <w:p w14:paraId="59713AE1" w14:textId="42E3356C" w:rsidR="0095665E" w:rsidRPr="008768A2" w:rsidRDefault="0095665E" w:rsidP="0095665E">
      <w:pPr>
        <w:pStyle w:val="Heading3"/>
        <w:widowControl w:val="0"/>
        <w:spacing w:after="0" w:line="240" w:lineRule="auto"/>
        <w:ind w:left="1440" w:right="1440"/>
        <w:rPr>
          <w:rFonts w:ascii="Times New Roman" w:eastAsia="Times New Roman" w:hAnsi="Times New Roman" w:cs="Times New Roman"/>
          <w:color w:val="000000" w:themeColor="text1"/>
        </w:rPr>
      </w:pPr>
      <w:r w:rsidRPr="008768A2">
        <w:rPr>
          <w:rFonts w:ascii="Times New Roman" w:eastAsia="Times New Roman" w:hAnsi="Times New Roman" w:cs="Times New Roman"/>
          <w:color w:val="000000" w:themeColor="text1"/>
        </w:rPr>
        <w:t>5.1.</w:t>
      </w:r>
      <w:r w:rsidR="00FC68BA" w:rsidRPr="008768A2">
        <w:rPr>
          <w:rFonts w:ascii="Times New Roman" w:eastAsia="Times New Roman" w:hAnsi="Times New Roman" w:cs="Times New Roman"/>
          <w:color w:val="000000" w:themeColor="text1"/>
        </w:rPr>
        <w:t>4</w:t>
      </w:r>
      <w:r w:rsidRPr="008768A2">
        <w:rPr>
          <w:rFonts w:ascii="Times New Roman" w:eastAsia="Times New Roman" w:hAnsi="Times New Roman" w:cs="Times New Roman"/>
          <w:color w:val="000000" w:themeColor="text1"/>
        </w:rPr>
        <w:t xml:space="preserve"> Promotion of </w:t>
      </w:r>
      <w:r w:rsidR="00FC68BA" w:rsidRPr="008768A2">
        <w:rPr>
          <w:rFonts w:ascii="Times New Roman" w:eastAsia="Times New Roman" w:hAnsi="Times New Roman" w:cs="Times New Roman"/>
          <w:color w:val="000000" w:themeColor="text1"/>
        </w:rPr>
        <w:t>Professors of Practice</w:t>
      </w:r>
      <w:r w:rsidRPr="008768A2">
        <w:rPr>
          <w:rFonts w:ascii="Times New Roman" w:eastAsia="Times New Roman" w:hAnsi="Times New Roman" w:cs="Times New Roman"/>
          <w:color w:val="000000" w:themeColor="text1"/>
        </w:rPr>
        <w:t xml:space="preserve"> </w:t>
      </w:r>
    </w:p>
    <w:p w14:paraId="67ECADD7" w14:textId="77777777" w:rsidR="0095665E" w:rsidRPr="008768A2" w:rsidRDefault="0095665E" w:rsidP="0095665E">
      <w:pPr>
        <w:spacing w:line="240" w:lineRule="auto"/>
        <w:ind w:left="1440" w:right="1440"/>
        <w:rPr>
          <w:rFonts w:ascii="Times New Roman" w:hAnsi="Times New Roman" w:cs="Times New Roman"/>
          <w:color w:val="000000" w:themeColor="text1"/>
          <w:sz w:val="24"/>
          <w:szCs w:val="24"/>
        </w:rPr>
      </w:pPr>
    </w:p>
    <w:p w14:paraId="32E87DCD" w14:textId="73A0A431" w:rsidR="0095665E" w:rsidRDefault="0095665E" w:rsidP="00202C0A">
      <w:pPr>
        <w:ind w:left="1440" w:right="1440"/>
        <w:rPr>
          <w:rFonts w:ascii="Times New Roman" w:eastAsia="Times New Roman" w:hAnsi="Times New Roman" w:cs="Times New Roman"/>
          <w:color w:val="000000" w:themeColor="text1"/>
          <w:sz w:val="24"/>
          <w:szCs w:val="24"/>
        </w:rPr>
      </w:pPr>
      <w:r w:rsidRPr="008768A2">
        <w:rPr>
          <w:rFonts w:ascii="Times New Roman" w:hAnsi="Times New Roman" w:cs="Times New Roman"/>
          <w:color w:val="000000" w:themeColor="text1"/>
          <w:sz w:val="24"/>
          <w:szCs w:val="24"/>
        </w:rPr>
        <w:t>Because</w:t>
      </w:r>
      <w:r w:rsidRPr="008768A2">
        <w:rPr>
          <w:rFonts w:ascii="Times New Roman" w:eastAsia="Times New Roman" w:hAnsi="Times New Roman" w:cs="Times New Roman"/>
          <w:color w:val="000000" w:themeColor="text1"/>
          <w:sz w:val="24"/>
          <w:szCs w:val="24"/>
        </w:rPr>
        <w:t xml:space="preserve"> MLFTC does not </w:t>
      </w:r>
      <w:r w:rsidR="00E91082" w:rsidRPr="008768A2">
        <w:rPr>
          <w:rFonts w:ascii="Times New Roman" w:eastAsia="Times New Roman" w:hAnsi="Times New Roman" w:cs="Times New Roman"/>
          <w:color w:val="000000" w:themeColor="text1"/>
          <w:sz w:val="24"/>
          <w:szCs w:val="24"/>
        </w:rPr>
        <w:t xml:space="preserve">currently </w:t>
      </w:r>
      <w:r w:rsidRPr="008768A2">
        <w:rPr>
          <w:rFonts w:ascii="Times New Roman" w:eastAsia="Times New Roman" w:hAnsi="Times New Roman" w:cs="Times New Roman"/>
          <w:color w:val="000000" w:themeColor="text1"/>
          <w:sz w:val="24"/>
          <w:szCs w:val="24"/>
        </w:rPr>
        <w:t xml:space="preserve">have any </w:t>
      </w:r>
      <w:r w:rsidR="00FC68BA" w:rsidRPr="008768A2">
        <w:rPr>
          <w:rFonts w:ascii="Times New Roman" w:eastAsia="Times New Roman" w:hAnsi="Times New Roman" w:cs="Times New Roman"/>
          <w:color w:val="000000" w:themeColor="text1"/>
          <w:sz w:val="24"/>
          <w:szCs w:val="24"/>
        </w:rPr>
        <w:t>professors of practice</w:t>
      </w:r>
      <w:r w:rsidRPr="008768A2">
        <w:rPr>
          <w:rFonts w:ascii="Times New Roman" w:eastAsia="Times New Roman" w:hAnsi="Times New Roman" w:cs="Times New Roman"/>
          <w:color w:val="000000" w:themeColor="text1"/>
          <w:sz w:val="24"/>
          <w:szCs w:val="24"/>
        </w:rPr>
        <w:t xml:space="preserve"> below the rank of full professor</w:t>
      </w:r>
      <w:r w:rsidR="00476AC8" w:rsidRPr="008768A2">
        <w:rPr>
          <w:rFonts w:ascii="Times New Roman" w:eastAsia="Times New Roman" w:hAnsi="Times New Roman" w:cs="Times New Roman"/>
          <w:color w:val="000000" w:themeColor="text1"/>
          <w:sz w:val="24"/>
          <w:szCs w:val="24"/>
        </w:rPr>
        <w:t xml:space="preserve"> of practice</w:t>
      </w:r>
      <w:r w:rsidRPr="008768A2">
        <w:rPr>
          <w:rFonts w:ascii="Times New Roman" w:eastAsia="Times New Roman" w:hAnsi="Times New Roman" w:cs="Times New Roman"/>
          <w:color w:val="000000" w:themeColor="text1"/>
          <w:sz w:val="24"/>
          <w:szCs w:val="24"/>
        </w:rPr>
        <w:t xml:space="preserve">, </w:t>
      </w:r>
      <w:r w:rsidR="003E6609" w:rsidRPr="008768A2">
        <w:rPr>
          <w:rFonts w:ascii="Times New Roman" w:eastAsia="Times New Roman" w:hAnsi="Times New Roman" w:cs="Times New Roman"/>
          <w:color w:val="000000" w:themeColor="text1"/>
          <w:sz w:val="24"/>
          <w:szCs w:val="24"/>
        </w:rPr>
        <w:t xml:space="preserve">MLFTC’s SoAs are currently silent </w:t>
      </w:r>
      <w:r w:rsidR="003E6609">
        <w:rPr>
          <w:rFonts w:ascii="Times New Roman" w:eastAsia="Times New Roman" w:hAnsi="Times New Roman" w:cs="Times New Roman"/>
          <w:color w:val="000000" w:themeColor="text1"/>
          <w:sz w:val="24"/>
          <w:szCs w:val="24"/>
        </w:rPr>
        <w:t>on the</w:t>
      </w:r>
      <w:r w:rsidR="003E6609" w:rsidRPr="003E6609">
        <w:rPr>
          <w:rFonts w:ascii="Times New Roman" w:eastAsia="Times New Roman" w:hAnsi="Times New Roman" w:cs="Times New Roman"/>
          <w:color w:val="000000" w:themeColor="text1"/>
          <w:sz w:val="24"/>
          <w:szCs w:val="24"/>
        </w:rPr>
        <w:t xml:space="preserve"> </w:t>
      </w:r>
      <w:r w:rsidR="003E6609" w:rsidRPr="008768A2">
        <w:rPr>
          <w:rFonts w:ascii="Times New Roman" w:eastAsia="Times New Roman" w:hAnsi="Times New Roman" w:cs="Times New Roman"/>
          <w:color w:val="000000" w:themeColor="text1"/>
          <w:sz w:val="24"/>
          <w:szCs w:val="24"/>
        </w:rPr>
        <w:t xml:space="preserve">teaching faculty </w:t>
      </w:r>
      <w:r w:rsidR="003E6609">
        <w:rPr>
          <w:rFonts w:ascii="Times New Roman" w:eastAsia="Times New Roman" w:hAnsi="Times New Roman" w:cs="Times New Roman"/>
          <w:color w:val="000000" w:themeColor="text1"/>
          <w:sz w:val="24"/>
          <w:szCs w:val="24"/>
        </w:rPr>
        <w:t xml:space="preserve">members’ </w:t>
      </w:r>
      <w:r w:rsidR="003E6609" w:rsidRPr="008768A2">
        <w:rPr>
          <w:rFonts w:ascii="Times New Roman" w:eastAsia="Times New Roman" w:hAnsi="Times New Roman" w:cs="Times New Roman"/>
          <w:color w:val="000000" w:themeColor="text1"/>
          <w:sz w:val="24"/>
          <w:szCs w:val="24"/>
        </w:rPr>
        <w:t>promotion criteri</w:t>
      </w:r>
      <w:r w:rsidR="003E6609">
        <w:rPr>
          <w:rFonts w:ascii="Times New Roman" w:eastAsia="Times New Roman" w:hAnsi="Times New Roman" w:cs="Times New Roman"/>
          <w:color w:val="000000" w:themeColor="text1"/>
          <w:sz w:val="24"/>
          <w:szCs w:val="24"/>
        </w:rPr>
        <w:t>a,</w:t>
      </w:r>
      <w:r w:rsidR="003E6609" w:rsidRPr="008768A2">
        <w:rPr>
          <w:rFonts w:ascii="Times New Roman" w:eastAsia="Times New Roman" w:hAnsi="Times New Roman" w:cs="Times New Roman"/>
          <w:color w:val="000000" w:themeColor="text1"/>
          <w:sz w:val="24"/>
          <w:szCs w:val="24"/>
        </w:rPr>
        <w:t xml:space="preserve"> processes</w:t>
      </w:r>
      <w:r w:rsidR="003E6609">
        <w:rPr>
          <w:rFonts w:ascii="Times New Roman" w:eastAsia="Times New Roman" w:hAnsi="Times New Roman" w:cs="Times New Roman"/>
          <w:color w:val="000000" w:themeColor="text1"/>
          <w:sz w:val="24"/>
          <w:szCs w:val="24"/>
        </w:rPr>
        <w:t>,</w:t>
      </w:r>
      <w:r w:rsidR="003E6609" w:rsidRPr="008768A2">
        <w:rPr>
          <w:rFonts w:ascii="Times New Roman" w:eastAsia="Times New Roman" w:hAnsi="Times New Roman" w:cs="Times New Roman"/>
          <w:color w:val="000000" w:themeColor="text1"/>
          <w:sz w:val="24"/>
          <w:szCs w:val="24"/>
        </w:rPr>
        <w:t xml:space="preserve"> and procedures.</w:t>
      </w:r>
    </w:p>
    <w:p w14:paraId="12C2A63E" w14:textId="77777777" w:rsidR="003E6609" w:rsidRDefault="003E6609" w:rsidP="00202C0A">
      <w:pPr>
        <w:ind w:left="1440" w:right="1440"/>
        <w:rPr>
          <w:rFonts w:ascii="Times New Roman" w:eastAsia="Times New Roman" w:hAnsi="Times New Roman" w:cs="Times New Roman"/>
          <w:color w:val="000000" w:themeColor="text1"/>
          <w:sz w:val="24"/>
          <w:szCs w:val="24"/>
        </w:rPr>
      </w:pPr>
    </w:p>
    <w:p w14:paraId="0114972C" w14:textId="70831954" w:rsidR="003E6609" w:rsidRPr="003E6609" w:rsidRDefault="003E6609" w:rsidP="00202C0A">
      <w:pPr>
        <w:ind w:left="1440" w:right="1440"/>
        <w:rPr>
          <w:rFonts w:ascii="Times New Roman" w:eastAsia="Times New Roman" w:hAnsi="Times New Roman" w:cs="Times New Roman"/>
          <w:b/>
          <w:bCs/>
          <w:color w:val="000000" w:themeColor="text1"/>
          <w:sz w:val="28"/>
          <w:szCs w:val="28"/>
        </w:rPr>
      </w:pPr>
      <w:r w:rsidRPr="003E6609">
        <w:rPr>
          <w:rFonts w:ascii="Times New Roman" w:eastAsia="Times New Roman" w:hAnsi="Times New Roman" w:cs="Times New Roman"/>
          <w:b/>
          <w:bCs/>
          <w:color w:val="000000" w:themeColor="text1"/>
          <w:sz w:val="28"/>
          <w:szCs w:val="28"/>
        </w:rPr>
        <w:t>5.1.5 Promotion of Academic Professionals</w:t>
      </w:r>
    </w:p>
    <w:p w14:paraId="576291CB" w14:textId="77777777" w:rsidR="003E6609" w:rsidRDefault="003E6609" w:rsidP="00202C0A">
      <w:pPr>
        <w:ind w:left="1440" w:right="1440"/>
        <w:rPr>
          <w:rFonts w:ascii="Times New Roman" w:eastAsia="Times New Roman" w:hAnsi="Times New Roman" w:cs="Times New Roman"/>
          <w:b/>
          <w:bCs/>
          <w:color w:val="000000" w:themeColor="text1"/>
          <w:sz w:val="24"/>
          <w:szCs w:val="24"/>
        </w:rPr>
      </w:pPr>
    </w:p>
    <w:p w14:paraId="759E80C4" w14:textId="4FCC6966" w:rsidR="003E6609" w:rsidRPr="008768A2" w:rsidRDefault="003E6609" w:rsidP="00202C0A">
      <w:pPr>
        <w:ind w:left="1440" w:right="1440"/>
        <w:rPr>
          <w:rFonts w:ascii="Times New Roman" w:eastAsia="Times New Roman" w:hAnsi="Times New Roman" w:cs="Times New Roman"/>
          <w:color w:val="000000" w:themeColor="text1"/>
          <w:sz w:val="24"/>
          <w:szCs w:val="24"/>
        </w:rPr>
      </w:pPr>
      <w:r w:rsidRPr="003E6609">
        <w:rPr>
          <w:rFonts w:ascii="Times New Roman" w:eastAsia="Times New Roman" w:hAnsi="Times New Roman" w:cs="Times New Roman"/>
          <w:color w:val="000000" w:themeColor="text1"/>
          <w:sz w:val="24"/>
          <w:szCs w:val="24"/>
        </w:rPr>
        <w:t xml:space="preserve">Because MLFTC does not currently have any academic professionals below the rank of full academic professional, </w:t>
      </w:r>
      <w:r w:rsidRPr="008768A2">
        <w:rPr>
          <w:rFonts w:ascii="Times New Roman" w:eastAsia="Times New Roman" w:hAnsi="Times New Roman" w:cs="Times New Roman"/>
          <w:color w:val="000000" w:themeColor="text1"/>
          <w:sz w:val="24"/>
          <w:szCs w:val="24"/>
        </w:rPr>
        <w:t xml:space="preserve">MLFTC’s SoAs are currently silent </w:t>
      </w:r>
      <w:r>
        <w:rPr>
          <w:rFonts w:ascii="Times New Roman" w:eastAsia="Times New Roman" w:hAnsi="Times New Roman" w:cs="Times New Roman"/>
          <w:color w:val="000000" w:themeColor="text1"/>
          <w:sz w:val="24"/>
          <w:szCs w:val="24"/>
        </w:rPr>
        <w:t>on the</w:t>
      </w:r>
      <w:r w:rsidRPr="003E6609">
        <w:rPr>
          <w:rFonts w:ascii="Times New Roman" w:eastAsia="Times New Roman" w:hAnsi="Times New Roman" w:cs="Times New Roman"/>
          <w:color w:val="000000" w:themeColor="text1"/>
          <w:sz w:val="24"/>
          <w:szCs w:val="24"/>
        </w:rPr>
        <w:t xml:space="preserve"> </w:t>
      </w:r>
      <w:r w:rsidRPr="008768A2">
        <w:rPr>
          <w:rFonts w:ascii="Times New Roman" w:eastAsia="Times New Roman" w:hAnsi="Times New Roman" w:cs="Times New Roman"/>
          <w:color w:val="000000" w:themeColor="text1"/>
          <w:sz w:val="24"/>
          <w:szCs w:val="24"/>
        </w:rPr>
        <w:t xml:space="preserve">teaching faculty </w:t>
      </w:r>
      <w:r>
        <w:rPr>
          <w:rFonts w:ascii="Times New Roman" w:eastAsia="Times New Roman" w:hAnsi="Times New Roman" w:cs="Times New Roman"/>
          <w:color w:val="000000" w:themeColor="text1"/>
          <w:sz w:val="24"/>
          <w:szCs w:val="24"/>
        </w:rPr>
        <w:t xml:space="preserve">members’ </w:t>
      </w:r>
      <w:r w:rsidRPr="008768A2">
        <w:rPr>
          <w:rFonts w:ascii="Times New Roman" w:eastAsia="Times New Roman" w:hAnsi="Times New Roman" w:cs="Times New Roman"/>
          <w:color w:val="000000" w:themeColor="text1"/>
          <w:sz w:val="24"/>
          <w:szCs w:val="24"/>
        </w:rPr>
        <w:t>promotion criteri</w:t>
      </w:r>
      <w:r>
        <w:rPr>
          <w:rFonts w:ascii="Times New Roman" w:eastAsia="Times New Roman" w:hAnsi="Times New Roman" w:cs="Times New Roman"/>
          <w:color w:val="000000" w:themeColor="text1"/>
          <w:sz w:val="24"/>
          <w:szCs w:val="24"/>
        </w:rPr>
        <w:t>a,</w:t>
      </w:r>
      <w:r w:rsidRPr="008768A2">
        <w:rPr>
          <w:rFonts w:ascii="Times New Roman" w:eastAsia="Times New Roman" w:hAnsi="Times New Roman" w:cs="Times New Roman"/>
          <w:color w:val="000000" w:themeColor="text1"/>
          <w:sz w:val="24"/>
          <w:szCs w:val="24"/>
        </w:rPr>
        <w:t xml:space="preserve"> processes</w:t>
      </w:r>
      <w:r>
        <w:rPr>
          <w:rFonts w:ascii="Times New Roman" w:eastAsia="Times New Roman" w:hAnsi="Times New Roman" w:cs="Times New Roman"/>
          <w:color w:val="000000" w:themeColor="text1"/>
          <w:sz w:val="24"/>
          <w:szCs w:val="24"/>
        </w:rPr>
        <w:t>,</w:t>
      </w:r>
      <w:r w:rsidRPr="008768A2">
        <w:rPr>
          <w:rFonts w:ascii="Times New Roman" w:eastAsia="Times New Roman" w:hAnsi="Times New Roman" w:cs="Times New Roman"/>
          <w:color w:val="000000" w:themeColor="text1"/>
          <w:sz w:val="24"/>
          <w:szCs w:val="24"/>
        </w:rPr>
        <w:t xml:space="preserve"> and procedures</w:t>
      </w:r>
      <w:r w:rsidRPr="003E6609">
        <w:rPr>
          <w:rFonts w:ascii="Times New Roman" w:eastAsia="Times New Roman" w:hAnsi="Times New Roman" w:cs="Times New Roman"/>
          <w:color w:val="000000" w:themeColor="text1"/>
          <w:sz w:val="24"/>
          <w:szCs w:val="24"/>
        </w:rPr>
        <w:t>.</w:t>
      </w:r>
    </w:p>
    <w:p w14:paraId="45ADCF75" w14:textId="77777777" w:rsidR="007465F6" w:rsidRDefault="007465F6" w:rsidP="00202C0A">
      <w:pPr>
        <w:ind w:left="1440" w:right="1440"/>
        <w:rPr>
          <w:rFonts w:ascii="Times New Roman" w:eastAsia="Times New Roman" w:hAnsi="Times New Roman" w:cs="Times New Roman"/>
          <w:color w:val="76923C" w:themeColor="accent3" w:themeShade="BF"/>
          <w:sz w:val="24"/>
          <w:szCs w:val="24"/>
        </w:rPr>
      </w:pPr>
    </w:p>
    <w:p w14:paraId="14057E41" w14:textId="1A57E4F9" w:rsidR="002424FA" w:rsidRDefault="00476AC8" w:rsidP="0017430C">
      <w:pPr>
        <w:pStyle w:val="Heading1"/>
        <w:spacing w:before="0" w:after="0" w:line="240" w:lineRule="auto"/>
        <w:ind w:left="1440" w:right="1440"/>
        <w:rPr>
          <w:rFonts w:ascii="Times New Roman" w:eastAsia="Times New Roman" w:hAnsi="Times New Roman" w:cs="Times New Roman"/>
        </w:rPr>
      </w:pPr>
      <w:bookmarkStart w:id="32" w:name="_3fwokq0" w:colFirst="0" w:colLast="0"/>
      <w:bookmarkEnd w:id="32"/>
      <w:r>
        <w:rPr>
          <w:rFonts w:ascii="Times New Roman" w:eastAsia="Times New Roman" w:hAnsi="Times New Roman" w:cs="Times New Roman"/>
        </w:rPr>
        <w:t>6</w:t>
      </w:r>
      <w:r w:rsidR="0035498F">
        <w:rPr>
          <w:rFonts w:ascii="Times New Roman" w:eastAsia="Times New Roman" w:hAnsi="Times New Roman" w:cs="Times New Roman"/>
        </w:rPr>
        <w:t>.0 Peer Institutions</w:t>
      </w:r>
    </w:p>
    <w:p w14:paraId="0708C6C7" w14:textId="7CC7B206" w:rsidR="00752D14" w:rsidRPr="002424FA" w:rsidRDefault="0035498F" w:rsidP="0017430C">
      <w:pPr>
        <w:pStyle w:val="Heading1"/>
        <w:spacing w:before="0" w:after="0" w:line="240" w:lineRule="auto"/>
        <w:ind w:left="1440" w:right="1440"/>
        <w:rPr>
          <w:rFonts w:ascii="Times New Roman" w:eastAsia="Times New Roman" w:hAnsi="Times New Roman" w:cs="Times New Roman"/>
          <w:sz w:val="24"/>
          <w:szCs w:val="24"/>
        </w:rPr>
      </w:pPr>
      <w:r w:rsidRPr="002424FA">
        <w:rPr>
          <w:rFonts w:ascii="Times New Roman" w:eastAsia="Times New Roman" w:hAnsi="Times New Roman" w:cs="Times New Roman"/>
          <w:sz w:val="24"/>
          <w:szCs w:val="24"/>
        </w:rPr>
        <w:t xml:space="preserve"> </w:t>
      </w:r>
    </w:p>
    <w:p w14:paraId="76BE6B73" w14:textId="21854A73" w:rsidR="00752D14" w:rsidRDefault="00476AC8" w:rsidP="0017430C">
      <w:pPr>
        <w:pStyle w:val="Heading2"/>
        <w:spacing w:before="0" w:after="0" w:line="240" w:lineRule="auto"/>
        <w:ind w:left="1440" w:right="1440"/>
        <w:rPr>
          <w:rFonts w:ascii="Times New Roman" w:eastAsia="Times New Roman" w:hAnsi="Times New Roman" w:cs="Times New Roman"/>
        </w:rPr>
      </w:pPr>
      <w:bookmarkStart w:id="33" w:name="_1v1yuxt" w:colFirst="0" w:colLast="0"/>
      <w:bookmarkEnd w:id="33"/>
      <w:r>
        <w:rPr>
          <w:rFonts w:ascii="Times New Roman" w:eastAsia="Times New Roman" w:hAnsi="Times New Roman" w:cs="Times New Roman"/>
        </w:rPr>
        <w:t>6</w:t>
      </w:r>
      <w:r w:rsidR="000234B1">
        <w:rPr>
          <w:rFonts w:ascii="Times New Roman" w:eastAsia="Times New Roman" w:hAnsi="Times New Roman" w:cs="Times New Roman"/>
        </w:rPr>
        <w:t xml:space="preserve">.1 </w:t>
      </w:r>
      <w:r w:rsidR="0035498F">
        <w:rPr>
          <w:rFonts w:ascii="Times New Roman" w:eastAsia="Times New Roman" w:hAnsi="Times New Roman" w:cs="Times New Roman"/>
        </w:rPr>
        <w:t xml:space="preserve">College-Level Peer Institutions </w:t>
      </w:r>
    </w:p>
    <w:p w14:paraId="022D0C99"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Columbia University, Teachers College </w:t>
      </w:r>
    </w:p>
    <w:p w14:paraId="1548F9C4"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Oregon </w:t>
      </w:r>
    </w:p>
    <w:p w14:paraId="2BA27FD1"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Florida State University </w:t>
      </w:r>
    </w:p>
    <w:p w14:paraId="140E3478"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Pittsburgh </w:t>
      </w:r>
    </w:p>
    <w:p w14:paraId="7FFF9444"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Michigan State University </w:t>
      </w:r>
    </w:p>
    <w:p w14:paraId="0AE7E925"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University of Virginia </w:t>
      </w:r>
    </w:p>
    <w:p w14:paraId="7DE7EE67"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Ohio State University, Main Campus </w:t>
      </w:r>
    </w:p>
    <w:p w14:paraId="45B1EDF0" w14:textId="77777777" w:rsidR="00752D14"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Washington </w:t>
      </w:r>
    </w:p>
    <w:p w14:paraId="23F75CCA" w14:textId="77777777" w:rsidR="002424FA" w:rsidRDefault="0035498F">
      <w:pPr>
        <w:widowControl w:val="0"/>
        <w:numPr>
          <w:ilvl w:val="0"/>
          <w:numId w:val="10"/>
        </w:numPr>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Illinois, Urbana-Champaign </w:t>
      </w:r>
    </w:p>
    <w:p w14:paraId="1FA4007F" w14:textId="77777777" w:rsidR="002424FA" w:rsidRDefault="002424FA" w:rsidP="002424FA">
      <w:pPr>
        <w:widowControl w:val="0"/>
        <w:pBdr>
          <w:top w:val="nil"/>
          <w:left w:val="nil"/>
          <w:bottom w:val="nil"/>
          <w:right w:val="nil"/>
          <w:between w:val="nil"/>
        </w:pBdr>
        <w:spacing w:line="240" w:lineRule="auto"/>
        <w:ind w:left="2160" w:right="1440"/>
        <w:rPr>
          <w:rFonts w:ascii="Times New Roman" w:eastAsia="Times New Roman" w:hAnsi="Times New Roman" w:cs="Times New Roman"/>
          <w:color w:val="000000"/>
          <w:sz w:val="24"/>
          <w:szCs w:val="24"/>
        </w:rPr>
      </w:pPr>
    </w:p>
    <w:p w14:paraId="28F0645D" w14:textId="14AABF58" w:rsidR="000A5263" w:rsidRPr="008768A2" w:rsidRDefault="00476AC8" w:rsidP="000A5263">
      <w:pPr>
        <w:pStyle w:val="Heading2"/>
        <w:spacing w:before="0" w:after="0" w:line="240" w:lineRule="auto"/>
        <w:ind w:left="1440" w:right="1440"/>
        <w:rPr>
          <w:rFonts w:ascii="Times New Roman" w:eastAsia="Times New Roman" w:hAnsi="Times New Roman" w:cs="Times New Roman"/>
          <w:color w:val="000000" w:themeColor="text1"/>
        </w:rPr>
      </w:pPr>
      <w:r>
        <w:rPr>
          <w:rFonts w:ascii="Times New Roman" w:eastAsia="Times New Roman" w:hAnsi="Times New Roman" w:cs="Times New Roman"/>
        </w:rPr>
        <w:t>6</w:t>
      </w:r>
      <w:r w:rsidR="000234B1">
        <w:rPr>
          <w:rFonts w:ascii="Times New Roman" w:eastAsia="Times New Roman" w:hAnsi="Times New Roman" w:cs="Times New Roman"/>
        </w:rPr>
        <w:t xml:space="preserve">.2 </w:t>
      </w:r>
      <w:r w:rsidR="000A5263">
        <w:rPr>
          <w:rFonts w:ascii="Times New Roman" w:eastAsia="Times New Roman" w:hAnsi="Times New Roman" w:cs="Times New Roman"/>
        </w:rPr>
        <w:t xml:space="preserve">Association of </w:t>
      </w:r>
      <w:r w:rsidR="000A5263" w:rsidRPr="008768A2">
        <w:rPr>
          <w:rFonts w:ascii="Times New Roman" w:eastAsia="Times New Roman" w:hAnsi="Times New Roman" w:cs="Times New Roman"/>
          <w:color w:val="000000" w:themeColor="text1"/>
        </w:rPr>
        <w:t>American Universities (AAU)</w:t>
      </w:r>
    </w:p>
    <w:p w14:paraId="29470E31" w14:textId="77777777" w:rsidR="000A5263" w:rsidRDefault="000A5263" w:rsidP="000A5263">
      <w:pPr>
        <w:pStyle w:val="ListParagraph"/>
        <w:widowControl w:val="0"/>
        <w:numPr>
          <w:ilvl w:val="0"/>
          <w:numId w:val="30"/>
        </w:numPr>
        <w:pBdr>
          <w:top w:val="nil"/>
          <w:left w:val="nil"/>
          <w:bottom w:val="nil"/>
          <w:right w:val="nil"/>
          <w:between w:val="nil"/>
        </w:pBdr>
        <w:spacing w:line="240" w:lineRule="auto"/>
        <w:ind w:right="1440"/>
        <w:rPr>
          <w:rFonts w:ascii="Times New Roman" w:eastAsia="Times New Roman" w:hAnsi="Times New Roman" w:cs="Times New Roman"/>
          <w:color w:val="76923C" w:themeColor="accent3" w:themeShade="BF"/>
          <w:sz w:val="24"/>
          <w:szCs w:val="24"/>
        </w:rPr>
      </w:pPr>
      <w:r w:rsidRPr="008768A2">
        <w:rPr>
          <w:rFonts w:ascii="Times New Roman" w:eastAsia="Times New Roman" w:hAnsi="Times New Roman" w:cs="Times New Roman"/>
          <w:color w:val="000000" w:themeColor="text1"/>
          <w:sz w:val="24"/>
          <w:szCs w:val="24"/>
        </w:rPr>
        <w:t xml:space="preserve">AAU member universities are also considered to be university-level peer institutions. The AAU’s current membership list can be found </w:t>
      </w:r>
      <w:hyperlink r:id="rId84" w:history="1">
        <w:r w:rsidRPr="007F32C2">
          <w:rPr>
            <w:rStyle w:val="Hyperlink"/>
            <w:rFonts w:ascii="Times New Roman" w:eastAsia="Times New Roman" w:hAnsi="Times New Roman" w:cs="Times New Roman"/>
            <w:sz w:val="24"/>
            <w:szCs w:val="24"/>
          </w:rPr>
          <w:t>here</w:t>
        </w:r>
      </w:hyperlink>
      <w:r>
        <w:rPr>
          <w:rFonts w:ascii="Times New Roman" w:eastAsia="Times New Roman" w:hAnsi="Times New Roman" w:cs="Times New Roman"/>
          <w:color w:val="76923C" w:themeColor="accent3" w:themeShade="BF"/>
          <w:sz w:val="24"/>
          <w:szCs w:val="24"/>
        </w:rPr>
        <w:t>.</w:t>
      </w:r>
      <w:r w:rsidRPr="00476AC8">
        <w:rPr>
          <w:rFonts w:ascii="Times New Roman" w:eastAsia="Times New Roman" w:hAnsi="Times New Roman" w:cs="Times New Roman"/>
          <w:color w:val="76923C" w:themeColor="accent3" w:themeShade="BF"/>
          <w:sz w:val="24"/>
          <w:szCs w:val="24"/>
        </w:rPr>
        <w:t xml:space="preserve"> </w:t>
      </w:r>
    </w:p>
    <w:p w14:paraId="0E5C0A27" w14:textId="77777777" w:rsidR="002424FA" w:rsidRDefault="002424FA" w:rsidP="000A5263">
      <w:pPr>
        <w:pStyle w:val="Heading2"/>
        <w:spacing w:before="0" w:after="0" w:line="240" w:lineRule="auto"/>
        <w:ind w:left="1440" w:right="1440"/>
        <w:rPr>
          <w:rFonts w:ascii="Times New Roman" w:eastAsia="Times New Roman" w:hAnsi="Times New Roman" w:cs="Times New Roman"/>
          <w:color w:val="000000"/>
          <w:sz w:val="24"/>
          <w:szCs w:val="24"/>
        </w:rPr>
      </w:pPr>
    </w:p>
    <w:sectPr w:rsidR="002424FA" w:rsidSect="00863AF9">
      <w:footerReference w:type="default" r:id="rId85"/>
      <w:pgSz w:w="12240" w:h="15840"/>
      <w:pgMar w:top="1440" w:right="0" w:bottom="144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DB98" w14:textId="77777777" w:rsidR="007B2E0C" w:rsidRDefault="007B2E0C">
      <w:pPr>
        <w:spacing w:line="240" w:lineRule="auto"/>
      </w:pPr>
      <w:r>
        <w:separator/>
      </w:r>
    </w:p>
  </w:endnote>
  <w:endnote w:type="continuationSeparator" w:id="0">
    <w:p w14:paraId="502C2F76" w14:textId="77777777" w:rsidR="007B2E0C" w:rsidRDefault="007B2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8299721"/>
      <w:docPartObj>
        <w:docPartGallery w:val="Page Numbers (Bottom of Page)"/>
        <w:docPartUnique/>
      </w:docPartObj>
    </w:sdtPr>
    <w:sdtContent>
      <w:p w14:paraId="59A45526" w14:textId="543FC59A" w:rsidR="00413B90" w:rsidRDefault="00413B90" w:rsidP="00A95A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D50DF" w14:textId="77777777" w:rsidR="00413B90" w:rsidRDefault="00413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9465" w14:textId="77777777" w:rsidR="00A97B0A" w:rsidRPr="00A97B0A" w:rsidRDefault="00A97B0A" w:rsidP="00A97B0A">
    <w:pPr>
      <w:pStyle w:val="Footer"/>
      <w:jc w:val="center"/>
      <w:rPr>
        <w:rFonts w:ascii="Times New Roman" w:hAnsi="Times New Roman" w:cs="Times New Roman"/>
        <w:b/>
        <w:color w:val="990000"/>
        <w:sz w:val="18"/>
        <w:szCs w:val="18"/>
      </w:rPr>
    </w:pPr>
    <w:r w:rsidRPr="00A97B0A">
      <w:rPr>
        <w:rFonts w:ascii="Times New Roman" w:hAnsi="Times New Roman" w:cs="Times New Roman"/>
        <w:b/>
        <w:color w:val="990000"/>
        <w:sz w:val="18"/>
        <w:szCs w:val="18"/>
      </w:rPr>
      <w:t xml:space="preserve">Office of the University Provost </w:t>
    </w:r>
  </w:p>
  <w:p w14:paraId="4EEEC94C" w14:textId="77777777" w:rsidR="00A97B0A" w:rsidRPr="00A97B0A" w:rsidRDefault="00A97B0A" w:rsidP="00A97B0A">
    <w:pPr>
      <w:pStyle w:val="Footer"/>
      <w:jc w:val="center"/>
      <w:rPr>
        <w:rFonts w:ascii="Times New Roman" w:hAnsi="Times New Roman" w:cs="Times New Roman"/>
        <w:color w:val="990000"/>
        <w:sz w:val="18"/>
        <w:szCs w:val="18"/>
      </w:rPr>
    </w:pPr>
  </w:p>
  <w:p w14:paraId="39AD43F3" w14:textId="77777777" w:rsidR="00A97B0A" w:rsidRPr="00A97B0A" w:rsidRDefault="00A97B0A" w:rsidP="00A97B0A">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300 East University Drive</w:t>
    </w:r>
  </w:p>
  <w:p w14:paraId="471484DD" w14:textId="77777777" w:rsidR="00A97B0A" w:rsidRPr="00A97B0A" w:rsidRDefault="00A97B0A" w:rsidP="00A97B0A">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P.O. Box 877805 Tempe, AZ 85287-7805</w:t>
    </w:r>
  </w:p>
  <w:p w14:paraId="7939E5FA" w14:textId="77777777" w:rsidR="00A97B0A" w:rsidRPr="00A97B0A" w:rsidRDefault="00A97B0A" w:rsidP="00A97B0A">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(480) 965-4995 Fax: (480) 965-0785</w:t>
    </w:r>
  </w:p>
  <w:p w14:paraId="3D38A3E7" w14:textId="77777777" w:rsidR="00A97B0A" w:rsidRDefault="00A97B0A" w:rsidP="00A97B0A">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https://provost.asu.edu/</w:t>
    </w:r>
  </w:p>
  <w:p w14:paraId="668E25A1" w14:textId="77777777" w:rsidR="00A97B0A" w:rsidRDefault="00A97B0A" w:rsidP="00A97B0A">
    <w:pPr>
      <w:pStyle w:val="Footer"/>
      <w:jc w:val="center"/>
      <w:rPr>
        <w:rFonts w:ascii="Times New Roman" w:hAnsi="Times New Roman" w:cs="Times New Roman"/>
        <w:sz w:val="18"/>
        <w:szCs w:val="18"/>
      </w:rPr>
    </w:pPr>
  </w:p>
  <w:p w14:paraId="65786FEB" w14:textId="77777777" w:rsidR="00A97B0A" w:rsidRDefault="00A97B0A" w:rsidP="00A97B0A">
    <w:pPr>
      <w:pStyle w:val="Footer"/>
      <w:jc w:val="center"/>
      <w:rPr>
        <w:rFonts w:ascii="Times New Roman" w:hAnsi="Times New Roman" w:cs="Times New Roman"/>
        <w:sz w:val="18"/>
        <w:szCs w:val="18"/>
      </w:rPr>
    </w:pPr>
  </w:p>
  <w:p w14:paraId="17503678" w14:textId="7B464550" w:rsidR="00A97B0A" w:rsidRPr="00A97B0A" w:rsidRDefault="00A97B0A" w:rsidP="00A97B0A">
    <w:pPr>
      <w:pStyle w:val="Footer"/>
      <w:ind w:right="1170"/>
      <w:jc w:val="right"/>
      <w:rPr>
        <w:rFonts w:ascii="Times New Roman" w:hAnsi="Times New Roman" w:cs="Times New Roman"/>
        <w:sz w:val="18"/>
        <w:szCs w:val="18"/>
      </w:rPr>
    </w:pPr>
    <w:r>
      <w:rPr>
        <w:rFonts w:ascii="Times New Roman" w:hAnsi="Times New Roman" w:cs="Times New Roman"/>
        <w:sz w:val="18"/>
        <w:szCs w:val="18"/>
      </w:rPr>
      <w:t>8/13/24</w:t>
    </w:r>
  </w:p>
  <w:p w14:paraId="50C00C3B" w14:textId="61C51F1C" w:rsidR="00413B90" w:rsidRPr="00446C08" w:rsidRDefault="00413B90" w:rsidP="003C2A27">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3E7B" w14:textId="77777777" w:rsidR="00A97B0A" w:rsidRPr="00446C08" w:rsidRDefault="00A97B0A" w:rsidP="003C2A27">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548367833"/>
      <w:docPartObj>
        <w:docPartGallery w:val="Page Numbers (Bottom of Page)"/>
        <w:docPartUnique/>
      </w:docPartObj>
    </w:sdtPr>
    <w:sdtContent>
      <w:p w14:paraId="7A59B2E6" w14:textId="77777777" w:rsidR="00413B90" w:rsidRPr="000234B1" w:rsidRDefault="00413B90" w:rsidP="00413B90">
        <w:pPr>
          <w:pStyle w:val="Footer"/>
          <w:framePr w:wrap="none" w:vAnchor="text" w:hAnchor="margin" w:xAlign="center" w:y="1"/>
          <w:rPr>
            <w:rStyle w:val="PageNumber"/>
            <w:rFonts w:ascii="Times New Roman" w:hAnsi="Times New Roman" w:cs="Times New Roman"/>
          </w:rPr>
        </w:pPr>
        <w:r w:rsidRPr="000234B1">
          <w:rPr>
            <w:rStyle w:val="PageNumber"/>
            <w:rFonts w:ascii="Times New Roman" w:hAnsi="Times New Roman" w:cs="Times New Roman"/>
          </w:rPr>
          <w:fldChar w:fldCharType="begin"/>
        </w:r>
        <w:r w:rsidRPr="000234B1">
          <w:rPr>
            <w:rStyle w:val="PageNumber"/>
            <w:rFonts w:ascii="Times New Roman" w:hAnsi="Times New Roman" w:cs="Times New Roman"/>
          </w:rPr>
          <w:instrText xml:space="preserve"> PAGE </w:instrText>
        </w:r>
        <w:r w:rsidRPr="000234B1">
          <w:rPr>
            <w:rStyle w:val="PageNumber"/>
            <w:rFonts w:ascii="Times New Roman" w:hAnsi="Times New Roman" w:cs="Times New Roman"/>
          </w:rPr>
          <w:fldChar w:fldCharType="separate"/>
        </w:r>
        <w:r w:rsidRPr="000234B1">
          <w:rPr>
            <w:rStyle w:val="PageNumber"/>
            <w:rFonts w:ascii="Times New Roman" w:hAnsi="Times New Roman" w:cs="Times New Roman"/>
            <w:noProof/>
          </w:rPr>
          <w:t>0</w:t>
        </w:r>
        <w:r w:rsidRPr="000234B1">
          <w:rPr>
            <w:rStyle w:val="PageNumber"/>
            <w:rFonts w:ascii="Times New Roman" w:hAnsi="Times New Roman" w:cs="Times New Roman"/>
          </w:rPr>
          <w:fldChar w:fldCharType="end"/>
        </w:r>
      </w:p>
    </w:sdtContent>
  </w:sdt>
  <w:p w14:paraId="5E311757" w14:textId="77777777" w:rsidR="00413B90" w:rsidRPr="00446C08" w:rsidRDefault="00413B90" w:rsidP="003C2A27">
    <w:pPr>
      <w:pStyle w:val="Footer"/>
      <w:jc w:val="center"/>
      <w:rPr>
        <w:rFonts w:ascii="Times New Roman" w:hAnsi="Times New Roman" w:cs="Times New Roman"/>
      </w:rPr>
    </w:pPr>
  </w:p>
  <w:p w14:paraId="1C595321" w14:textId="77777777" w:rsidR="00413B90" w:rsidRDefault="0041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A37E4" w14:textId="77777777" w:rsidR="007B2E0C" w:rsidRDefault="007B2E0C">
      <w:pPr>
        <w:spacing w:line="240" w:lineRule="auto"/>
      </w:pPr>
      <w:r>
        <w:separator/>
      </w:r>
    </w:p>
  </w:footnote>
  <w:footnote w:type="continuationSeparator" w:id="0">
    <w:p w14:paraId="6270B773" w14:textId="77777777" w:rsidR="007B2E0C" w:rsidRDefault="007B2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B1FA" w14:textId="3DA430F0" w:rsidR="00413B90" w:rsidRDefault="00A97B0A" w:rsidP="00A97B0A">
    <w:pPr>
      <w:jc w:val="center"/>
    </w:pPr>
    <w:r>
      <w:rPr>
        <w:noProof/>
      </w:rPr>
      <w:drawing>
        <wp:inline distT="0" distB="0" distL="0" distR="0" wp14:anchorId="5EF64E83" wp14:editId="2A2EE3F0">
          <wp:extent cx="1898650" cy="552450"/>
          <wp:effectExtent l="0" t="0" r="6350" b="0"/>
          <wp:docPr id="1925672758" name="Picture 1925672758"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1B6C" w14:textId="03997996" w:rsidR="00A97B0A" w:rsidRDefault="00A97B0A" w:rsidP="00A97B0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D7C"/>
    <w:multiLevelType w:val="multilevel"/>
    <w:tmpl w:val="5D54E20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2151B39"/>
    <w:multiLevelType w:val="multilevel"/>
    <w:tmpl w:val="D9CE7006"/>
    <w:lvl w:ilvl="0">
      <w:start w:val="1"/>
      <w:numFmt w:val="decimal"/>
      <w:lvlText w:val="%1."/>
      <w:lvlJc w:val="left"/>
      <w:pPr>
        <w:ind w:left="720" w:hanging="360"/>
      </w:pPr>
    </w:lvl>
    <w:lvl w:ilvl="1">
      <w:start w:val="1"/>
      <w:numFmt w:val="decimal"/>
      <w:isLgl/>
      <w:lvlText w:val="%1.%2."/>
      <w:lvlJc w:val="left"/>
      <w:pPr>
        <w:ind w:left="1860" w:hanging="420"/>
      </w:pPr>
      <w:rPr>
        <w:rFonts w:eastAsia="Times New Roman" w:hint="default"/>
        <w:b/>
        <w:sz w:val="28"/>
      </w:rPr>
    </w:lvl>
    <w:lvl w:ilvl="2">
      <w:start w:val="1"/>
      <w:numFmt w:val="decimal"/>
      <w:isLgl/>
      <w:lvlText w:val="%1.%2.%3."/>
      <w:lvlJc w:val="left"/>
      <w:pPr>
        <w:ind w:left="3240" w:hanging="720"/>
      </w:pPr>
      <w:rPr>
        <w:rFonts w:eastAsia="Times New Roman" w:hint="default"/>
        <w:b/>
        <w:sz w:val="28"/>
      </w:rPr>
    </w:lvl>
    <w:lvl w:ilvl="3">
      <w:start w:val="1"/>
      <w:numFmt w:val="decimal"/>
      <w:isLgl/>
      <w:lvlText w:val="%1.%2.%3.%4."/>
      <w:lvlJc w:val="left"/>
      <w:pPr>
        <w:ind w:left="4320" w:hanging="720"/>
      </w:pPr>
      <w:rPr>
        <w:rFonts w:eastAsia="Times New Roman" w:hint="default"/>
        <w:b/>
        <w:sz w:val="28"/>
      </w:rPr>
    </w:lvl>
    <w:lvl w:ilvl="4">
      <w:start w:val="1"/>
      <w:numFmt w:val="decimal"/>
      <w:isLgl/>
      <w:lvlText w:val="%1.%2.%3.%4.%5."/>
      <w:lvlJc w:val="left"/>
      <w:pPr>
        <w:ind w:left="5760" w:hanging="1080"/>
      </w:pPr>
      <w:rPr>
        <w:rFonts w:eastAsia="Times New Roman" w:hint="default"/>
        <w:b/>
        <w:sz w:val="28"/>
      </w:rPr>
    </w:lvl>
    <w:lvl w:ilvl="5">
      <w:start w:val="1"/>
      <w:numFmt w:val="decimal"/>
      <w:isLgl/>
      <w:lvlText w:val="%1.%2.%3.%4.%5.%6."/>
      <w:lvlJc w:val="left"/>
      <w:pPr>
        <w:ind w:left="6840" w:hanging="1080"/>
      </w:pPr>
      <w:rPr>
        <w:rFonts w:eastAsia="Times New Roman" w:hint="default"/>
        <w:b/>
        <w:sz w:val="28"/>
      </w:rPr>
    </w:lvl>
    <w:lvl w:ilvl="6">
      <w:start w:val="1"/>
      <w:numFmt w:val="decimal"/>
      <w:isLgl/>
      <w:lvlText w:val="%1.%2.%3.%4.%5.%6.%7."/>
      <w:lvlJc w:val="left"/>
      <w:pPr>
        <w:ind w:left="8280" w:hanging="1440"/>
      </w:pPr>
      <w:rPr>
        <w:rFonts w:eastAsia="Times New Roman" w:hint="default"/>
        <w:b/>
        <w:sz w:val="28"/>
      </w:rPr>
    </w:lvl>
    <w:lvl w:ilvl="7">
      <w:start w:val="1"/>
      <w:numFmt w:val="decimal"/>
      <w:isLgl/>
      <w:lvlText w:val="%1.%2.%3.%4.%5.%6.%7.%8."/>
      <w:lvlJc w:val="left"/>
      <w:pPr>
        <w:ind w:left="9360" w:hanging="1440"/>
      </w:pPr>
      <w:rPr>
        <w:rFonts w:eastAsia="Times New Roman" w:hint="default"/>
        <w:b/>
        <w:sz w:val="28"/>
      </w:rPr>
    </w:lvl>
    <w:lvl w:ilvl="8">
      <w:start w:val="1"/>
      <w:numFmt w:val="decimal"/>
      <w:isLgl/>
      <w:lvlText w:val="%1.%2.%3.%4.%5.%6.%7.%8.%9."/>
      <w:lvlJc w:val="left"/>
      <w:pPr>
        <w:ind w:left="10800" w:hanging="1800"/>
      </w:pPr>
      <w:rPr>
        <w:rFonts w:eastAsia="Times New Roman" w:hint="default"/>
        <w:b/>
        <w:sz w:val="28"/>
      </w:rPr>
    </w:lvl>
  </w:abstractNum>
  <w:abstractNum w:abstractNumId="2" w15:restartNumberingAfterBreak="0">
    <w:nsid w:val="02534E5C"/>
    <w:multiLevelType w:val="hybridMultilevel"/>
    <w:tmpl w:val="B8BE0000"/>
    <w:lvl w:ilvl="0" w:tplc="FFFFFFFF">
      <w:start w:val="1"/>
      <w:numFmt w:val="decimal"/>
      <w:lvlText w:val="%1."/>
      <w:lvlJc w:val="left"/>
      <w:pPr>
        <w:ind w:left="886" w:hanging="216"/>
      </w:pPr>
      <w:rPr>
        <w:rFonts w:ascii="Calibri" w:eastAsia="Calibri" w:hAnsi="Calibri" w:cs="Calibri" w:hint="default"/>
        <w:spacing w:val="-2"/>
        <w:w w:val="100"/>
        <w:sz w:val="22"/>
        <w:szCs w:val="22"/>
      </w:rPr>
    </w:lvl>
    <w:lvl w:ilvl="1" w:tplc="04090001">
      <w:start w:val="1"/>
      <w:numFmt w:val="bullet"/>
      <w:lvlText w:val=""/>
      <w:lvlJc w:val="left"/>
      <w:pPr>
        <w:ind w:left="1199" w:hanging="360"/>
      </w:pPr>
      <w:rPr>
        <w:rFonts w:ascii="Symbol" w:hAnsi="Symbol" w:hint="default"/>
      </w:rPr>
    </w:lvl>
    <w:lvl w:ilvl="2" w:tplc="FFFFFFFF">
      <w:numFmt w:val="bullet"/>
      <w:lvlText w:val="•"/>
      <w:lvlJc w:val="left"/>
      <w:pPr>
        <w:ind w:left="1560" w:hanging="259"/>
      </w:pPr>
      <w:rPr>
        <w:rFonts w:hint="default"/>
      </w:rPr>
    </w:lvl>
    <w:lvl w:ilvl="3" w:tplc="FFFFFFFF">
      <w:numFmt w:val="bullet"/>
      <w:lvlText w:val="•"/>
      <w:lvlJc w:val="left"/>
      <w:pPr>
        <w:ind w:left="2555" w:hanging="259"/>
      </w:pPr>
      <w:rPr>
        <w:rFonts w:hint="default"/>
      </w:rPr>
    </w:lvl>
    <w:lvl w:ilvl="4" w:tplc="FFFFFFFF">
      <w:numFmt w:val="bullet"/>
      <w:lvlText w:val="•"/>
      <w:lvlJc w:val="left"/>
      <w:pPr>
        <w:ind w:left="3550" w:hanging="259"/>
      </w:pPr>
      <w:rPr>
        <w:rFonts w:hint="default"/>
      </w:rPr>
    </w:lvl>
    <w:lvl w:ilvl="5" w:tplc="FFFFFFFF">
      <w:numFmt w:val="bullet"/>
      <w:lvlText w:val="•"/>
      <w:lvlJc w:val="left"/>
      <w:pPr>
        <w:ind w:left="4545" w:hanging="259"/>
      </w:pPr>
      <w:rPr>
        <w:rFonts w:hint="default"/>
      </w:rPr>
    </w:lvl>
    <w:lvl w:ilvl="6" w:tplc="FFFFFFFF">
      <w:numFmt w:val="bullet"/>
      <w:lvlText w:val="•"/>
      <w:lvlJc w:val="left"/>
      <w:pPr>
        <w:ind w:left="5540" w:hanging="259"/>
      </w:pPr>
      <w:rPr>
        <w:rFonts w:hint="default"/>
      </w:rPr>
    </w:lvl>
    <w:lvl w:ilvl="7" w:tplc="FFFFFFFF">
      <w:numFmt w:val="bullet"/>
      <w:lvlText w:val="•"/>
      <w:lvlJc w:val="left"/>
      <w:pPr>
        <w:ind w:left="6535" w:hanging="259"/>
      </w:pPr>
      <w:rPr>
        <w:rFonts w:hint="default"/>
      </w:rPr>
    </w:lvl>
    <w:lvl w:ilvl="8" w:tplc="FFFFFFFF">
      <w:numFmt w:val="bullet"/>
      <w:lvlText w:val="•"/>
      <w:lvlJc w:val="left"/>
      <w:pPr>
        <w:ind w:left="7530" w:hanging="259"/>
      </w:pPr>
      <w:rPr>
        <w:rFonts w:hint="default"/>
      </w:rPr>
    </w:lvl>
  </w:abstractNum>
  <w:abstractNum w:abstractNumId="3" w15:restartNumberingAfterBreak="0">
    <w:nsid w:val="02621042"/>
    <w:multiLevelType w:val="multilevel"/>
    <w:tmpl w:val="AE66E9F0"/>
    <w:lvl w:ilvl="0">
      <w:start w:val="5"/>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3A756E9"/>
    <w:multiLevelType w:val="hybridMultilevel"/>
    <w:tmpl w:val="45286DCE"/>
    <w:lvl w:ilvl="0" w:tplc="FFFFFFFF">
      <w:start w:val="1"/>
      <w:numFmt w:val="decimal"/>
      <w:lvlText w:val="%1."/>
      <w:lvlJc w:val="left"/>
      <w:pPr>
        <w:ind w:left="886" w:hanging="216"/>
      </w:pPr>
      <w:rPr>
        <w:rFonts w:ascii="Calibri" w:eastAsia="Calibri" w:hAnsi="Calibri" w:cs="Calibri" w:hint="default"/>
        <w:spacing w:val="-2"/>
        <w:w w:val="100"/>
        <w:sz w:val="22"/>
        <w:szCs w:val="22"/>
      </w:rPr>
    </w:lvl>
    <w:lvl w:ilvl="1" w:tplc="04090001">
      <w:start w:val="1"/>
      <w:numFmt w:val="bullet"/>
      <w:lvlText w:val=""/>
      <w:lvlJc w:val="left"/>
      <w:pPr>
        <w:ind w:left="1199" w:hanging="360"/>
      </w:pPr>
      <w:rPr>
        <w:rFonts w:ascii="Symbol" w:hAnsi="Symbol" w:hint="default"/>
      </w:rPr>
    </w:lvl>
    <w:lvl w:ilvl="2" w:tplc="FFFFFFFF">
      <w:numFmt w:val="bullet"/>
      <w:lvlText w:val="•"/>
      <w:lvlJc w:val="left"/>
      <w:pPr>
        <w:ind w:left="1560" w:hanging="259"/>
      </w:pPr>
      <w:rPr>
        <w:rFonts w:hint="default"/>
      </w:rPr>
    </w:lvl>
    <w:lvl w:ilvl="3" w:tplc="FFFFFFFF">
      <w:numFmt w:val="bullet"/>
      <w:lvlText w:val="•"/>
      <w:lvlJc w:val="left"/>
      <w:pPr>
        <w:ind w:left="2555" w:hanging="259"/>
      </w:pPr>
      <w:rPr>
        <w:rFonts w:hint="default"/>
      </w:rPr>
    </w:lvl>
    <w:lvl w:ilvl="4" w:tplc="FFFFFFFF">
      <w:numFmt w:val="bullet"/>
      <w:lvlText w:val="•"/>
      <w:lvlJc w:val="left"/>
      <w:pPr>
        <w:ind w:left="3550" w:hanging="259"/>
      </w:pPr>
      <w:rPr>
        <w:rFonts w:hint="default"/>
      </w:rPr>
    </w:lvl>
    <w:lvl w:ilvl="5" w:tplc="FFFFFFFF">
      <w:numFmt w:val="bullet"/>
      <w:lvlText w:val="•"/>
      <w:lvlJc w:val="left"/>
      <w:pPr>
        <w:ind w:left="4545" w:hanging="259"/>
      </w:pPr>
      <w:rPr>
        <w:rFonts w:hint="default"/>
      </w:rPr>
    </w:lvl>
    <w:lvl w:ilvl="6" w:tplc="FFFFFFFF">
      <w:numFmt w:val="bullet"/>
      <w:lvlText w:val="•"/>
      <w:lvlJc w:val="left"/>
      <w:pPr>
        <w:ind w:left="5540" w:hanging="259"/>
      </w:pPr>
      <w:rPr>
        <w:rFonts w:hint="default"/>
      </w:rPr>
    </w:lvl>
    <w:lvl w:ilvl="7" w:tplc="FFFFFFFF">
      <w:numFmt w:val="bullet"/>
      <w:lvlText w:val="•"/>
      <w:lvlJc w:val="left"/>
      <w:pPr>
        <w:ind w:left="6535" w:hanging="259"/>
      </w:pPr>
      <w:rPr>
        <w:rFonts w:hint="default"/>
      </w:rPr>
    </w:lvl>
    <w:lvl w:ilvl="8" w:tplc="FFFFFFFF">
      <w:numFmt w:val="bullet"/>
      <w:lvlText w:val="•"/>
      <w:lvlJc w:val="left"/>
      <w:pPr>
        <w:ind w:left="7530" w:hanging="259"/>
      </w:pPr>
      <w:rPr>
        <w:rFonts w:hint="default"/>
      </w:rPr>
    </w:lvl>
  </w:abstractNum>
  <w:abstractNum w:abstractNumId="5" w15:restartNumberingAfterBreak="0">
    <w:nsid w:val="08E6084A"/>
    <w:multiLevelType w:val="multilevel"/>
    <w:tmpl w:val="71E0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8220BC"/>
    <w:multiLevelType w:val="multilevel"/>
    <w:tmpl w:val="16FAD29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0D1C0A4D"/>
    <w:multiLevelType w:val="hybridMultilevel"/>
    <w:tmpl w:val="EB8A9E3A"/>
    <w:lvl w:ilvl="0" w:tplc="04090001">
      <w:start w:val="1"/>
      <w:numFmt w:val="bullet"/>
      <w:lvlText w:val=""/>
      <w:lvlJc w:val="left"/>
      <w:pPr>
        <w:ind w:left="1199" w:hanging="360"/>
      </w:pPr>
      <w:rPr>
        <w:rFonts w:ascii="Symbol" w:hAnsi="Symbol" w:hint="default"/>
      </w:rPr>
    </w:lvl>
    <w:lvl w:ilvl="1" w:tplc="FFFFFFFF">
      <w:start w:val="1"/>
      <w:numFmt w:val="bullet"/>
      <w:lvlText w:val="o"/>
      <w:lvlJc w:val="left"/>
      <w:pPr>
        <w:ind w:left="1559" w:hanging="360"/>
      </w:pPr>
      <w:rPr>
        <w:rFonts w:ascii="Courier New" w:hAnsi="Courier New" w:cs="Courier New" w:hint="default"/>
      </w:rPr>
    </w:lvl>
    <w:lvl w:ilvl="2" w:tplc="FFFFFFFF">
      <w:start w:val="1"/>
      <w:numFmt w:val="bullet"/>
      <w:lvlText w:val=""/>
      <w:lvlJc w:val="left"/>
      <w:pPr>
        <w:ind w:left="2279" w:hanging="360"/>
      </w:pPr>
      <w:rPr>
        <w:rFonts w:ascii="Wingdings" w:hAnsi="Wingdings" w:hint="default"/>
      </w:rPr>
    </w:lvl>
    <w:lvl w:ilvl="3" w:tplc="FFFFFFFF" w:tentative="1">
      <w:start w:val="1"/>
      <w:numFmt w:val="bullet"/>
      <w:lvlText w:val=""/>
      <w:lvlJc w:val="left"/>
      <w:pPr>
        <w:ind w:left="2999" w:hanging="360"/>
      </w:pPr>
      <w:rPr>
        <w:rFonts w:ascii="Symbol" w:hAnsi="Symbol" w:hint="default"/>
      </w:rPr>
    </w:lvl>
    <w:lvl w:ilvl="4" w:tplc="FFFFFFFF" w:tentative="1">
      <w:start w:val="1"/>
      <w:numFmt w:val="bullet"/>
      <w:lvlText w:val="o"/>
      <w:lvlJc w:val="left"/>
      <w:pPr>
        <w:ind w:left="3719" w:hanging="360"/>
      </w:pPr>
      <w:rPr>
        <w:rFonts w:ascii="Courier New" w:hAnsi="Courier New" w:cs="Courier New" w:hint="default"/>
      </w:rPr>
    </w:lvl>
    <w:lvl w:ilvl="5" w:tplc="FFFFFFFF" w:tentative="1">
      <w:start w:val="1"/>
      <w:numFmt w:val="bullet"/>
      <w:lvlText w:val=""/>
      <w:lvlJc w:val="left"/>
      <w:pPr>
        <w:ind w:left="4439" w:hanging="360"/>
      </w:pPr>
      <w:rPr>
        <w:rFonts w:ascii="Wingdings" w:hAnsi="Wingdings" w:hint="default"/>
      </w:rPr>
    </w:lvl>
    <w:lvl w:ilvl="6" w:tplc="FFFFFFFF" w:tentative="1">
      <w:start w:val="1"/>
      <w:numFmt w:val="bullet"/>
      <w:lvlText w:val=""/>
      <w:lvlJc w:val="left"/>
      <w:pPr>
        <w:ind w:left="5159" w:hanging="360"/>
      </w:pPr>
      <w:rPr>
        <w:rFonts w:ascii="Symbol" w:hAnsi="Symbol" w:hint="default"/>
      </w:rPr>
    </w:lvl>
    <w:lvl w:ilvl="7" w:tplc="FFFFFFFF" w:tentative="1">
      <w:start w:val="1"/>
      <w:numFmt w:val="bullet"/>
      <w:lvlText w:val="o"/>
      <w:lvlJc w:val="left"/>
      <w:pPr>
        <w:ind w:left="5879" w:hanging="360"/>
      </w:pPr>
      <w:rPr>
        <w:rFonts w:ascii="Courier New" w:hAnsi="Courier New" w:cs="Courier New" w:hint="default"/>
      </w:rPr>
    </w:lvl>
    <w:lvl w:ilvl="8" w:tplc="FFFFFFFF" w:tentative="1">
      <w:start w:val="1"/>
      <w:numFmt w:val="bullet"/>
      <w:lvlText w:val=""/>
      <w:lvlJc w:val="left"/>
      <w:pPr>
        <w:ind w:left="6599" w:hanging="360"/>
      </w:pPr>
      <w:rPr>
        <w:rFonts w:ascii="Wingdings" w:hAnsi="Wingdings" w:hint="default"/>
      </w:rPr>
    </w:lvl>
  </w:abstractNum>
  <w:abstractNum w:abstractNumId="8" w15:restartNumberingAfterBreak="0">
    <w:nsid w:val="10070488"/>
    <w:multiLevelType w:val="hybridMultilevel"/>
    <w:tmpl w:val="E8A48AF8"/>
    <w:lvl w:ilvl="0" w:tplc="CED0AF82">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1A5C4B"/>
    <w:multiLevelType w:val="hybridMultilevel"/>
    <w:tmpl w:val="22B85406"/>
    <w:lvl w:ilvl="0" w:tplc="7B96B43C">
      <w:start w:val="1"/>
      <w:numFmt w:val="decimal"/>
      <w:lvlText w:val="%1."/>
      <w:lvlJc w:val="left"/>
      <w:pPr>
        <w:ind w:left="826" w:hanging="360"/>
      </w:pPr>
      <w:rPr>
        <w:rFonts w:hint="default"/>
        <w:spacing w:val="-1"/>
        <w:w w:val="106"/>
        <w:lang w:val="en-US" w:eastAsia="en-US" w:bidi="ar-SA"/>
      </w:rPr>
    </w:lvl>
    <w:lvl w:ilvl="1" w:tplc="FFFFFFFF">
      <w:numFmt w:val="bullet"/>
      <w:lvlText w:val="•"/>
      <w:lvlJc w:val="left"/>
      <w:pPr>
        <w:ind w:left="1555" w:hanging="363"/>
      </w:pPr>
      <w:rPr>
        <w:rFonts w:ascii="Arial" w:eastAsia="Arial" w:hAnsi="Arial" w:cs="Arial" w:hint="default"/>
        <w:w w:val="103"/>
        <w:lang w:val="en-US" w:eastAsia="en-US" w:bidi="ar-SA"/>
      </w:rPr>
    </w:lvl>
    <w:lvl w:ilvl="2" w:tplc="FFFFFFFF">
      <w:numFmt w:val="bullet"/>
      <w:lvlText w:val="•"/>
      <w:lvlJc w:val="left"/>
      <w:pPr>
        <w:ind w:left="2449" w:hanging="363"/>
      </w:pPr>
      <w:rPr>
        <w:rFonts w:hint="default"/>
        <w:lang w:val="en-US" w:eastAsia="en-US" w:bidi="ar-SA"/>
      </w:rPr>
    </w:lvl>
    <w:lvl w:ilvl="3" w:tplc="FFFFFFFF">
      <w:numFmt w:val="bullet"/>
      <w:lvlText w:val="•"/>
      <w:lvlJc w:val="left"/>
      <w:pPr>
        <w:ind w:left="3339" w:hanging="363"/>
      </w:pPr>
      <w:rPr>
        <w:rFonts w:hint="default"/>
        <w:lang w:val="en-US" w:eastAsia="en-US" w:bidi="ar-SA"/>
      </w:rPr>
    </w:lvl>
    <w:lvl w:ilvl="4" w:tplc="FFFFFFFF">
      <w:numFmt w:val="bullet"/>
      <w:lvlText w:val="•"/>
      <w:lvlJc w:val="left"/>
      <w:pPr>
        <w:ind w:left="4229" w:hanging="363"/>
      </w:pPr>
      <w:rPr>
        <w:rFonts w:hint="default"/>
        <w:lang w:val="en-US" w:eastAsia="en-US" w:bidi="ar-SA"/>
      </w:rPr>
    </w:lvl>
    <w:lvl w:ilvl="5" w:tplc="FFFFFFFF">
      <w:numFmt w:val="bullet"/>
      <w:lvlText w:val="•"/>
      <w:lvlJc w:val="left"/>
      <w:pPr>
        <w:ind w:left="5119" w:hanging="363"/>
      </w:pPr>
      <w:rPr>
        <w:rFonts w:hint="default"/>
        <w:lang w:val="en-US" w:eastAsia="en-US" w:bidi="ar-SA"/>
      </w:rPr>
    </w:lvl>
    <w:lvl w:ilvl="6" w:tplc="FFFFFFFF">
      <w:numFmt w:val="bullet"/>
      <w:lvlText w:val="•"/>
      <w:lvlJc w:val="left"/>
      <w:pPr>
        <w:ind w:left="6008" w:hanging="363"/>
      </w:pPr>
      <w:rPr>
        <w:rFonts w:hint="default"/>
        <w:lang w:val="en-US" w:eastAsia="en-US" w:bidi="ar-SA"/>
      </w:rPr>
    </w:lvl>
    <w:lvl w:ilvl="7" w:tplc="FFFFFFFF">
      <w:numFmt w:val="bullet"/>
      <w:lvlText w:val="•"/>
      <w:lvlJc w:val="left"/>
      <w:pPr>
        <w:ind w:left="6898" w:hanging="363"/>
      </w:pPr>
      <w:rPr>
        <w:rFonts w:hint="default"/>
        <w:lang w:val="en-US" w:eastAsia="en-US" w:bidi="ar-SA"/>
      </w:rPr>
    </w:lvl>
    <w:lvl w:ilvl="8" w:tplc="FFFFFFFF">
      <w:numFmt w:val="bullet"/>
      <w:lvlText w:val="•"/>
      <w:lvlJc w:val="left"/>
      <w:pPr>
        <w:ind w:left="7788" w:hanging="363"/>
      </w:pPr>
      <w:rPr>
        <w:rFonts w:hint="default"/>
        <w:lang w:val="en-US" w:eastAsia="en-US" w:bidi="ar-SA"/>
      </w:rPr>
    </w:lvl>
  </w:abstractNum>
  <w:abstractNum w:abstractNumId="10" w15:restartNumberingAfterBreak="0">
    <w:nsid w:val="18A65CEB"/>
    <w:multiLevelType w:val="hybridMultilevel"/>
    <w:tmpl w:val="A6CA01C2"/>
    <w:lvl w:ilvl="0" w:tplc="FFFFFFFF">
      <w:start w:val="1"/>
      <w:numFmt w:val="decimal"/>
      <w:lvlText w:val="%1."/>
      <w:lvlJc w:val="left"/>
      <w:pPr>
        <w:ind w:left="821" w:hanging="264"/>
      </w:pPr>
      <w:rPr>
        <w:rFonts w:ascii="Calibri" w:eastAsia="Calibri" w:hAnsi="Calibri" w:cs="Calibri" w:hint="default"/>
        <w:spacing w:val="-2"/>
        <w:w w:val="100"/>
        <w:sz w:val="22"/>
        <w:szCs w:val="22"/>
      </w:rPr>
    </w:lvl>
    <w:lvl w:ilvl="1" w:tplc="04090001">
      <w:start w:val="1"/>
      <w:numFmt w:val="bullet"/>
      <w:lvlText w:val=""/>
      <w:lvlJc w:val="left"/>
      <w:pPr>
        <w:ind w:left="1199" w:hanging="360"/>
      </w:pPr>
      <w:rPr>
        <w:rFonts w:ascii="Symbol" w:hAnsi="Symbol" w:hint="default"/>
      </w:rPr>
    </w:lvl>
    <w:lvl w:ilvl="2" w:tplc="FFFFFFFF">
      <w:numFmt w:val="bullet"/>
      <w:lvlText w:val="•"/>
      <w:lvlJc w:val="left"/>
      <w:pPr>
        <w:ind w:left="2426" w:hanging="259"/>
      </w:pPr>
      <w:rPr>
        <w:rFonts w:hint="default"/>
      </w:rPr>
    </w:lvl>
    <w:lvl w:ilvl="3" w:tplc="FFFFFFFF">
      <w:numFmt w:val="bullet"/>
      <w:lvlText w:val="•"/>
      <w:lvlJc w:val="left"/>
      <w:pPr>
        <w:ind w:left="3313" w:hanging="259"/>
      </w:pPr>
      <w:rPr>
        <w:rFonts w:hint="default"/>
      </w:rPr>
    </w:lvl>
    <w:lvl w:ilvl="4" w:tplc="FFFFFFFF">
      <w:numFmt w:val="bullet"/>
      <w:lvlText w:val="•"/>
      <w:lvlJc w:val="left"/>
      <w:pPr>
        <w:ind w:left="4200" w:hanging="259"/>
      </w:pPr>
      <w:rPr>
        <w:rFonts w:hint="default"/>
      </w:rPr>
    </w:lvl>
    <w:lvl w:ilvl="5" w:tplc="FFFFFFFF">
      <w:numFmt w:val="bullet"/>
      <w:lvlText w:val="•"/>
      <w:lvlJc w:val="left"/>
      <w:pPr>
        <w:ind w:left="5086" w:hanging="259"/>
      </w:pPr>
      <w:rPr>
        <w:rFonts w:hint="default"/>
      </w:rPr>
    </w:lvl>
    <w:lvl w:ilvl="6" w:tplc="FFFFFFFF">
      <w:numFmt w:val="bullet"/>
      <w:lvlText w:val="•"/>
      <w:lvlJc w:val="left"/>
      <w:pPr>
        <w:ind w:left="5973" w:hanging="259"/>
      </w:pPr>
      <w:rPr>
        <w:rFonts w:hint="default"/>
      </w:rPr>
    </w:lvl>
    <w:lvl w:ilvl="7" w:tplc="FFFFFFFF">
      <w:numFmt w:val="bullet"/>
      <w:lvlText w:val="•"/>
      <w:lvlJc w:val="left"/>
      <w:pPr>
        <w:ind w:left="6860" w:hanging="259"/>
      </w:pPr>
      <w:rPr>
        <w:rFonts w:hint="default"/>
      </w:rPr>
    </w:lvl>
    <w:lvl w:ilvl="8" w:tplc="FFFFFFFF">
      <w:numFmt w:val="bullet"/>
      <w:lvlText w:val="•"/>
      <w:lvlJc w:val="left"/>
      <w:pPr>
        <w:ind w:left="7746" w:hanging="259"/>
      </w:pPr>
      <w:rPr>
        <w:rFonts w:hint="default"/>
      </w:rPr>
    </w:lvl>
  </w:abstractNum>
  <w:abstractNum w:abstractNumId="11" w15:restartNumberingAfterBreak="0">
    <w:nsid w:val="1DB67E80"/>
    <w:multiLevelType w:val="multilevel"/>
    <w:tmpl w:val="85DA9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2B585A"/>
    <w:multiLevelType w:val="multilevel"/>
    <w:tmpl w:val="8AC07D6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27C3238D"/>
    <w:multiLevelType w:val="hybridMultilevel"/>
    <w:tmpl w:val="74A08646"/>
    <w:lvl w:ilvl="0" w:tplc="04090001">
      <w:start w:val="1"/>
      <w:numFmt w:val="bullet"/>
      <w:lvlText w:val=""/>
      <w:lvlJc w:val="left"/>
      <w:pPr>
        <w:ind w:left="839" w:hanging="360"/>
      </w:pPr>
      <w:rPr>
        <w:rFonts w:ascii="Symbol" w:hAnsi="Symbol" w:hint="default"/>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4" w15:restartNumberingAfterBreak="0">
    <w:nsid w:val="28E05D5D"/>
    <w:multiLevelType w:val="multilevel"/>
    <w:tmpl w:val="382EBCC4"/>
    <w:lvl w:ilvl="0">
      <w:start w:val="1"/>
      <w:numFmt w:val="bullet"/>
      <w:lvlText w:val="●"/>
      <w:lvlJc w:val="left"/>
      <w:pPr>
        <w:ind w:left="2160" w:hanging="360"/>
      </w:pPr>
      <w:rPr>
        <w:color w:val="000000" w:themeColor="text1"/>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326D459A"/>
    <w:multiLevelType w:val="hybridMultilevel"/>
    <w:tmpl w:val="AA24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4365A"/>
    <w:multiLevelType w:val="multilevel"/>
    <w:tmpl w:val="D682F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F83061"/>
    <w:multiLevelType w:val="multilevel"/>
    <w:tmpl w:val="827AE232"/>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4F1E75EF"/>
    <w:multiLevelType w:val="hybridMultilevel"/>
    <w:tmpl w:val="17B28984"/>
    <w:lvl w:ilvl="0" w:tplc="047C58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02717"/>
    <w:multiLevelType w:val="hybridMultilevel"/>
    <w:tmpl w:val="80F24CD8"/>
    <w:lvl w:ilvl="0" w:tplc="5104711A">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6566B"/>
    <w:multiLevelType w:val="hybridMultilevel"/>
    <w:tmpl w:val="29B2FE5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1" w15:restartNumberingAfterBreak="0">
    <w:nsid w:val="5C381E6A"/>
    <w:multiLevelType w:val="multilevel"/>
    <w:tmpl w:val="11483484"/>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BA0460"/>
    <w:multiLevelType w:val="multilevel"/>
    <w:tmpl w:val="EB3A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07A64"/>
    <w:multiLevelType w:val="multilevel"/>
    <w:tmpl w:val="1BF84450"/>
    <w:lvl w:ilvl="0">
      <w:start w:val="1"/>
      <w:numFmt w:val="decimal"/>
      <w:lvlText w:val="%1."/>
      <w:lvlJc w:val="left"/>
      <w:pPr>
        <w:ind w:left="720" w:hanging="360"/>
      </w:p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4"/>
      <w:numFmt w:val="decimal"/>
      <w:isLgl/>
      <w:lvlText w:val="%1.%2.%3.%4."/>
      <w:lvlJc w:val="left"/>
      <w:pPr>
        <w:ind w:left="2220" w:hanging="78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CE46C09"/>
    <w:multiLevelType w:val="hybridMultilevel"/>
    <w:tmpl w:val="BD88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356C7"/>
    <w:multiLevelType w:val="multilevel"/>
    <w:tmpl w:val="F7DA2E50"/>
    <w:lvl w:ilvl="0">
      <w:start w:val="1"/>
      <w:numFmt w:val="decimal"/>
      <w:lvlText w:val="%1."/>
      <w:lvlJc w:val="left"/>
      <w:pPr>
        <w:ind w:left="180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04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2160"/>
      </w:pPr>
      <w:rPr>
        <w:rFonts w:hint="default"/>
      </w:rPr>
    </w:lvl>
    <w:lvl w:ilvl="6">
      <w:start w:val="1"/>
      <w:numFmt w:val="decimal"/>
      <w:lvlText w:val="%1.%2.%3.%4.%5.%6.%7"/>
      <w:lvlJc w:val="left"/>
      <w:pPr>
        <w:ind w:left="8280" w:hanging="2520"/>
      </w:pPr>
      <w:rPr>
        <w:rFonts w:hint="default"/>
      </w:rPr>
    </w:lvl>
    <w:lvl w:ilvl="7">
      <w:start w:val="1"/>
      <w:numFmt w:val="decimal"/>
      <w:lvlText w:val="%1.%2.%3.%4.%5.%6.%7.%8"/>
      <w:lvlJc w:val="left"/>
      <w:pPr>
        <w:ind w:left="9360" w:hanging="2880"/>
      </w:pPr>
      <w:rPr>
        <w:rFonts w:hint="default"/>
      </w:rPr>
    </w:lvl>
    <w:lvl w:ilvl="8">
      <w:start w:val="1"/>
      <w:numFmt w:val="decimal"/>
      <w:lvlText w:val="%1.%2.%3.%4.%5.%6.%7.%8.%9"/>
      <w:lvlJc w:val="left"/>
      <w:pPr>
        <w:ind w:left="10440" w:hanging="3240"/>
      </w:pPr>
      <w:rPr>
        <w:rFonts w:hint="default"/>
      </w:rPr>
    </w:lvl>
  </w:abstractNum>
  <w:abstractNum w:abstractNumId="26" w15:restartNumberingAfterBreak="0">
    <w:nsid w:val="5D7E0559"/>
    <w:multiLevelType w:val="hybridMultilevel"/>
    <w:tmpl w:val="A3AA2026"/>
    <w:lvl w:ilvl="0" w:tplc="184C7728">
      <w:start w:val="480"/>
      <w:numFmt w:val="bullet"/>
      <w:lvlText w:val="-"/>
      <w:lvlJc w:val="left"/>
      <w:pPr>
        <w:ind w:left="720" w:hanging="360"/>
      </w:pPr>
      <w:rPr>
        <w:rFonts w:ascii="Times New Roman" w:eastAsia="Calibri" w:hAnsi="Times New Roman" w:cs="Times New Roman" w:hint="default"/>
        <w:color w:val="0000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F1274"/>
    <w:multiLevelType w:val="multilevel"/>
    <w:tmpl w:val="4406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0814D9"/>
    <w:multiLevelType w:val="multilevel"/>
    <w:tmpl w:val="F7DA2E50"/>
    <w:lvl w:ilvl="0">
      <w:start w:val="1"/>
      <w:numFmt w:val="decimal"/>
      <w:lvlText w:val="%1."/>
      <w:lvlJc w:val="left"/>
      <w:pPr>
        <w:ind w:left="180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04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2160"/>
      </w:pPr>
      <w:rPr>
        <w:rFonts w:hint="default"/>
      </w:rPr>
    </w:lvl>
    <w:lvl w:ilvl="6">
      <w:start w:val="1"/>
      <w:numFmt w:val="decimal"/>
      <w:lvlText w:val="%1.%2.%3.%4.%5.%6.%7"/>
      <w:lvlJc w:val="left"/>
      <w:pPr>
        <w:ind w:left="8280" w:hanging="2520"/>
      </w:pPr>
      <w:rPr>
        <w:rFonts w:hint="default"/>
      </w:rPr>
    </w:lvl>
    <w:lvl w:ilvl="7">
      <w:start w:val="1"/>
      <w:numFmt w:val="decimal"/>
      <w:lvlText w:val="%1.%2.%3.%4.%5.%6.%7.%8"/>
      <w:lvlJc w:val="left"/>
      <w:pPr>
        <w:ind w:left="9360" w:hanging="2880"/>
      </w:pPr>
      <w:rPr>
        <w:rFonts w:hint="default"/>
      </w:rPr>
    </w:lvl>
    <w:lvl w:ilvl="8">
      <w:start w:val="1"/>
      <w:numFmt w:val="decimal"/>
      <w:lvlText w:val="%1.%2.%3.%4.%5.%6.%7.%8.%9"/>
      <w:lvlJc w:val="left"/>
      <w:pPr>
        <w:ind w:left="10440" w:hanging="3240"/>
      </w:pPr>
      <w:rPr>
        <w:rFonts w:hint="default"/>
      </w:rPr>
    </w:lvl>
  </w:abstractNum>
  <w:abstractNum w:abstractNumId="29" w15:restartNumberingAfterBreak="0">
    <w:nsid w:val="726B4C4D"/>
    <w:multiLevelType w:val="hybridMultilevel"/>
    <w:tmpl w:val="9202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631C9"/>
    <w:multiLevelType w:val="multilevel"/>
    <w:tmpl w:val="5072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8F16C4"/>
    <w:multiLevelType w:val="hybridMultilevel"/>
    <w:tmpl w:val="2A6258D2"/>
    <w:lvl w:ilvl="0" w:tplc="7B96B43C">
      <w:start w:val="1"/>
      <w:numFmt w:val="decimal"/>
      <w:lvlText w:val="%1."/>
      <w:lvlJc w:val="left"/>
      <w:pPr>
        <w:ind w:left="833" w:hanging="367"/>
      </w:pPr>
      <w:rPr>
        <w:rFonts w:hint="default"/>
        <w:spacing w:val="-1"/>
        <w:w w:val="106"/>
        <w:lang w:val="en-US" w:eastAsia="en-US" w:bidi="ar-SA"/>
      </w:rPr>
    </w:lvl>
    <w:lvl w:ilvl="1" w:tplc="E7F64B74">
      <w:numFmt w:val="bullet"/>
      <w:lvlText w:val="•"/>
      <w:lvlJc w:val="left"/>
      <w:pPr>
        <w:ind w:left="1555" w:hanging="363"/>
      </w:pPr>
      <w:rPr>
        <w:rFonts w:ascii="Arial" w:eastAsia="Arial" w:hAnsi="Arial" w:cs="Arial" w:hint="default"/>
        <w:w w:val="103"/>
        <w:lang w:val="en-US" w:eastAsia="en-US" w:bidi="ar-SA"/>
      </w:rPr>
    </w:lvl>
    <w:lvl w:ilvl="2" w:tplc="07A6E998">
      <w:numFmt w:val="bullet"/>
      <w:lvlText w:val="•"/>
      <w:lvlJc w:val="left"/>
      <w:pPr>
        <w:ind w:left="2449" w:hanging="363"/>
      </w:pPr>
      <w:rPr>
        <w:rFonts w:hint="default"/>
        <w:lang w:val="en-US" w:eastAsia="en-US" w:bidi="ar-SA"/>
      </w:rPr>
    </w:lvl>
    <w:lvl w:ilvl="3" w:tplc="0010BD14">
      <w:numFmt w:val="bullet"/>
      <w:lvlText w:val="•"/>
      <w:lvlJc w:val="left"/>
      <w:pPr>
        <w:ind w:left="3339" w:hanging="363"/>
      </w:pPr>
      <w:rPr>
        <w:rFonts w:hint="default"/>
        <w:lang w:val="en-US" w:eastAsia="en-US" w:bidi="ar-SA"/>
      </w:rPr>
    </w:lvl>
    <w:lvl w:ilvl="4" w:tplc="235AB382">
      <w:numFmt w:val="bullet"/>
      <w:lvlText w:val="•"/>
      <w:lvlJc w:val="left"/>
      <w:pPr>
        <w:ind w:left="4229" w:hanging="363"/>
      </w:pPr>
      <w:rPr>
        <w:rFonts w:hint="default"/>
        <w:lang w:val="en-US" w:eastAsia="en-US" w:bidi="ar-SA"/>
      </w:rPr>
    </w:lvl>
    <w:lvl w:ilvl="5" w:tplc="F9189B46">
      <w:numFmt w:val="bullet"/>
      <w:lvlText w:val="•"/>
      <w:lvlJc w:val="left"/>
      <w:pPr>
        <w:ind w:left="5119" w:hanging="363"/>
      </w:pPr>
      <w:rPr>
        <w:rFonts w:hint="default"/>
        <w:lang w:val="en-US" w:eastAsia="en-US" w:bidi="ar-SA"/>
      </w:rPr>
    </w:lvl>
    <w:lvl w:ilvl="6" w:tplc="7716F2C2">
      <w:numFmt w:val="bullet"/>
      <w:lvlText w:val="•"/>
      <w:lvlJc w:val="left"/>
      <w:pPr>
        <w:ind w:left="6008" w:hanging="363"/>
      </w:pPr>
      <w:rPr>
        <w:rFonts w:hint="default"/>
        <w:lang w:val="en-US" w:eastAsia="en-US" w:bidi="ar-SA"/>
      </w:rPr>
    </w:lvl>
    <w:lvl w:ilvl="7" w:tplc="94E2318A">
      <w:numFmt w:val="bullet"/>
      <w:lvlText w:val="•"/>
      <w:lvlJc w:val="left"/>
      <w:pPr>
        <w:ind w:left="6898" w:hanging="363"/>
      </w:pPr>
      <w:rPr>
        <w:rFonts w:hint="default"/>
        <w:lang w:val="en-US" w:eastAsia="en-US" w:bidi="ar-SA"/>
      </w:rPr>
    </w:lvl>
    <w:lvl w:ilvl="8" w:tplc="09CC15F8">
      <w:numFmt w:val="bullet"/>
      <w:lvlText w:val="•"/>
      <w:lvlJc w:val="left"/>
      <w:pPr>
        <w:ind w:left="7788" w:hanging="363"/>
      </w:pPr>
      <w:rPr>
        <w:rFonts w:hint="default"/>
        <w:lang w:val="en-US" w:eastAsia="en-US" w:bidi="ar-SA"/>
      </w:rPr>
    </w:lvl>
  </w:abstractNum>
  <w:abstractNum w:abstractNumId="32" w15:restartNumberingAfterBreak="0">
    <w:nsid w:val="7A45762D"/>
    <w:multiLevelType w:val="multilevel"/>
    <w:tmpl w:val="D480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287A3C"/>
    <w:multiLevelType w:val="multilevel"/>
    <w:tmpl w:val="27B81B8C"/>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7C6506CE"/>
    <w:multiLevelType w:val="hybridMultilevel"/>
    <w:tmpl w:val="2C0A01AE"/>
    <w:lvl w:ilvl="0" w:tplc="FFFFFFFF">
      <w:start w:val="1"/>
      <w:numFmt w:val="decimal"/>
      <w:lvlText w:val="%1."/>
      <w:lvlJc w:val="left"/>
      <w:pPr>
        <w:ind w:left="821" w:hanging="264"/>
      </w:pPr>
      <w:rPr>
        <w:rFonts w:ascii="Calibri" w:eastAsia="Calibri" w:hAnsi="Calibri" w:cs="Calibri" w:hint="default"/>
        <w:spacing w:val="-2"/>
        <w:w w:val="100"/>
        <w:sz w:val="22"/>
        <w:szCs w:val="22"/>
      </w:rPr>
    </w:lvl>
    <w:lvl w:ilvl="1" w:tplc="04090001">
      <w:start w:val="1"/>
      <w:numFmt w:val="bullet"/>
      <w:lvlText w:val=""/>
      <w:lvlJc w:val="left"/>
      <w:pPr>
        <w:ind w:left="1199" w:hanging="360"/>
      </w:pPr>
      <w:rPr>
        <w:rFonts w:ascii="Symbol" w:hAnsi="Symbol" w:hint="default"/>
      </w:rPr>
    </w:lvl>
    <w:lvl w:ilvl="2" w:tplc="FFFFFFFF">
      <w:numFmt w:val="bullet"/>
      <w:lvlText w:val="•"/>
      <w:lvlJc w:val="left"/>
      <w:pPr>
        <w:ind w:left="2426" w:hanging="259"/>
      </w:pPr>
      <w:rPr>
        <w:rFonts w:hint="default"/>
      </w:rPr>
    </w:lvl>
    <w:lvl w:ilvl="3" w:tplc="FFFFFFFF">
      <w:numFmt w:val="bullet"/>
      <w:lvlText w:val="•"/>
      <w:lvlJc w:val="left"/>
      <w:pPr>
        <w:ind w:left="3313" w:hanging="259"/>
      </w:pPr>
      <w:rPr>
        <w:rFonts w:hint="default"/>
      </w:rPr>
    </w:lvl>
    <w:lvl w:ilvl="4" w:tplc="FFFFFFFF">
      <w:numFmt w:val="bullet"/>
      <w:lvlText w:val="•"/>
      <w:lvlJc w:val="left"/>
      <w:pPr>
        <w:ind w:left="4200" w:hanging="259"/>
      </w:pPr>
      <w:rPr>
        <w:rFonts w:hint="default"/>
      </w:rPr>
    </w:lvl>
    <w:lvl w:ilvl="5" w:tplc="FFFFFFFF">
      <w:numFmt w:val="bullet"/>
      <w:lvlText w:val="•"/>
      <w:lvlJc w:val="left"/>
      <w:pPr>
        <w:ind w:left="5086" w:hanging="259"/>
      </w:pPr>
      <w:rPr>
        <w:rFonts w:hint="default"/>
      </w:rPr>
    </w:lvl>
    <w:lvl w:ilvl="6" w:tplc="FFFFFFFF">
      <w:numFmt w:val="bullet"/>
      <w:lvlText w:val="•"/>
      <w:lvlJc w:val="left"/>
      <w:pPr>
        <w:ind w:left="5973" w:hanging="259"/>
      </w:pPr>
      <w:rPr>
        <w:rFonts w:hint="default"/>
      </w:rPr>
    </w:lvl>
    <w:lvl w:ilvl="7" w:tplc="FFFFFFFF">
      <w:numFmt w:val="bullet"/>
      <w:lvlText w:val="•"/>
      <w:lvlJc w:val="left"/>
      <w:pPr>
        <w:ind w:left="6860" w:hanging="259"/>
      </w:pPr>
      <w:rPr>
        <w:rFonts w:hint="default"/>
      </w:rPr>
    </w:lvl>
    <w:lvl w:ilvl="8" w:tplc="FFFFFFFF">
      <w:numFmt w:val="bullet"/>
      <w:lvlText w:val="•"/>
      <w:lvlJc w:val="left"/>
      <w:pPr>
        <w:ind w:left="7746" w:hanging="259"/>
      </w:pPr>
      <w:rPr>
        <w:rFonts w:hint="default"/>
      </w:rPr>
    </w:lvl>
  </w:abstractNum>
  <w:abstractNum w:abstractNumId="35" w15:restartNumberingAfterBreak="0">
    <w:nsid w:val="7D6F50F1"/>
    <w:multiLevelType w:val="hybridMultilevel"/>
    <w:tmpl w:val="D9DC79E6"/>
    <w:lvl w:ilvl="0" w:tplc="FFFFFFFF">
      <w:start w:val="1"/>
      <w:numFmt w:val="decimal"/>
      <w:lvlText w:val="%1."/>
      <w:lvlJc w:val="left"/>
      <w:pPr>
        <w:ind w:left="821" w:hanging="264"/>
      </w:pPr>
      <w:rPr>
        <w:rFonts w:ascii="Calibri" w:eastAsia="Calibri" w:hAnsi="Calibri" w:cs="Calibri" w:hint="default"/>
        <w:spacing w:val="-2"/>
        <w:w w:val="100"/>
        <w:sz w:val="22"/>
        <w:szCs w:val="22"/>
      </w:rPr>
    </w:lvl>
    <w:lvl w:ilvl="1" w:tplc="04090001">
      <w:start w:val="1"/>
      <w:numFmt w:val="bullet"/>
      <w:lvlText w:val=""/>
      <w:lvlJc w:val="left"/>
      <w:pPr>
        <w:ind w:left="1199" w:hanging="360"/>
      </w:pPr>
      <w:rPr>
        <w:rFonts w:ascii="Symbol" w:hAnsi="Symbol" w:hint="default"/>
      </w:rPr>
    </w:lvl>
    <w:lvl w:ilvl="2" w:tplc="FFFFFFFF">
      <w:numFmt w:val="bullet"/>
      <w:lvlText w:val="•"/>
      <w:lvlJc w:val="left"/>
      <w:pPr>
        <w:ind w:left="2426" w:hanging="259"/>
      </w:pPr>
      <w:rPr>
        <w:rFonts w:hint="default"/>
      </w:rPr>
    </w:lvl>
    <w:lvl w:ilvl="3" w:tplc="FFFFFFFF">
      <w:numFmt w:val="bullet"/>
      <w:lvlText w:val="•"/>
      <w:lvlJc w:val="left"/>
      <w:pPr>
        <w:ind w:left="3313" w:hanging="259"/>
      </w:pPr>
      <w:rPr>
        <w:rFonts w:hint="default"/>
      </w:rPr>
    </w:lvl>
    <w:lvl w:ilvl="4" w:tplc="FFFFFFFF">
      <w:numFmt w:val="bullet"/>
      <w:lvlText w:val="•"/>
      <w:lvlJc w:val="left"/>
      <w:pPr>
        <w:ind w:left="4200" w:hanging="259"/>
      </w:pPr>
      <w:rPr>
        <w:rFonts w:hint="default"/>
      </w:rPr>
    </w:lvl>
    <w:lvl w:ilvl="5" w:tplc="FFFFFFFF">
      <w:numFmt w:val="bullet"/>
      <w:lvlText w:val="•"/>
      <w:lvlJc w:val="left"/>
      <w:pPr>
        <w:ind w:left="5086" w:hanging="259"/>
      </w:pPr>
      <w:rPr>
        <w:rFonts w:hint="default"/>
      </w:rPr>
    </w:lvl>
    <w:lvl w:ilvl="6" w:tplc="FFFFFFFF">
      <w:numFmt w:val="bullet"/>
      <w:lvlText w:val="•"/>
      <w:lvlJc w:val="left"/>
      <w:pPr>
        <w:ind w:left="5973" w:hanging="259"/>
      </w:pPr>
      <w:rPr>
        <w:rFonts w:hint="default"/>
      </w:rPr>
    </w:lvl>
    <w:lvl w:ilvl="7" w:tplc="FFFFFFFF">
      <w:numFmt w:val="bullet"/>
      <w:lvlText w:val="•"/>
      <w:lvlJc w:val="left"/>
      <w:pPr>
        <w:ind w:left="6860" w:hanging="259"/>
      </w:pPr>
      <w:rPr>
        <w:rFonts w:hint="default"/>
      </w:rPr>
    </w:lvl>
    <w:lvl w:ilvl="8" w:tplc="FFFFFFFF">
      <w:numFmt w:val="bullet"/>
      <w:lvlText w:val="•"/>
      <w:lvlJc w:val="left"/>
      <w:pPr>
        <w:ind w:left="7746" w:hanging="259"/>
      </w:pPr>
      <w:rPr>
        <w:rFonts w:hint="default"/>
      </w:rPr>
    </w:lvl>
  </w:abstractNum>
  <w:abstractNum w:abstractNumId="36" w15:restartNumberingAfterBreak="0">
    <w:nsid w:val="7EFF5537"/>
    <w:multiLevelType w:val="multilevel"/>
    <w:tmpl w:val="EE7A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386043">
    <w:abstractNumId w:val="6"/>
  </w:num>
  <w:num w:numId="2" w16cid:durableId="1616716062">
    <w:abstractNumId w:val="21"/>
  </w:num>
  <w:num w:numId="3" w16cid:durableId="841507402">
    <w:abstractNumId w:val="5"/>
  </w:num>
  <w:num w:numId="4" w16cid:durableId="1666206733">
    <w:abstractNumId w:val="11"/>
  </w:num>
  <w:num w:numId="5" w16cid:durableId="1265846742">
    <w:abstractNumId w:val="14"/>
  </w:num>
  <w:num w:numId="6" w16cid:durableId="1128087211">
    <w:abstractNumId w:val="12"/>
  </w:num>
  <w:num w:numId="7" w16cid:durableId="339165948">
    <w:abstractNumId w:val="27"/>
  </w:num>
  <w:num w:numId="8" w16cid:durableId="672341803">
    <w:abstractNumId w:val="0"/>
  </w:num>
  <w:num w:numId="9" w16cid:durableId="71509012">
    <w:abstractNumId w:val="30"/>
  </w:num>
  <w:num w:numId="10" w16cid:durableId="1220677799">
    <w:abstractNumId w:val="36"/>
  </w:num>
  <w:num w:numId="11" w16cid:durableId="757674797">
    <w:abstractNumId w:val="16"/>
  </w:num>
  <w:num w:numId="12" w16cid:durableId="1964312198">
    <w:abstractNumId w:val="32"/>
  </w:num>
  <w:num w:numId="13" w16cid:durableId="761220908">
    <w:abstractNumId w:val="28"/>
  </w:num>
  <w:num w:numId="14" w16cid:durableId="1307396024">
    <w:abstractNumId w:val="25"/>
  </w:num>
  <w:num w:numId="15" w16cid:durableId="1610502807">
    <w:abstractNumId w:val="15"/>
  </w:num>
  <w:num w:numId="16" w16cid:durableId="1024088384">
    <w:abstractNumId w:val="1"/>
  </w:num>
  <w:num w:numId="17" w16cid:durableId="1653868223">
    <w:abstractNumId w:val="23"/>
  </w:num>
  <w:num w:numId="18" w16cid:durableId="1621304940">
    <w:abstractNumId w:val="31"/>
  </w:num>
  <w:num w:numId="19" w16cid:durableId="1698844770">
    <w:abstractNumId w:val="29"/>
  </w:num>
  <w:num w:numId="20" w16cid:durableId="936912292">
    <w:abstractNumId w:val="9"/>
  </w:num>
  <w:num w:numId="21" w16cid:durableId="55589630">
    <w:abstractNumId w:val="17"/>
  </w:num>
  <w:num w:numId="22" w16cid:durableId="1106927069">
    <w:abstractNumId w:val="13"/>
  </w:num>
  <w:num w:numId="23" w16cid:durableId="1003048300">
    <w:abstractNumId w:val="20"/>
  </w:num>
  <w:num w:numId="24" w16cid:durableId="665325087">
    <w:abstractNumId w:val="4"/>
  </w:num>
  <w:num w:numId="25" w16cid:durableId="1078014254">
    <w:abstractNumId w:val="7"/>
  </w:num>
  <w:num w:numId="26" w16cid:durableId="459881940">
    <w:abstractNumId w:val="2"/>
  </w:num>
  <w:num w:numId="27" w16cid:durableId="1536501278">
    <w:abstractNumId w:val="10"/>
  </w:num>
  <w:num w:numId="28" w16cid:durableId="1048068399">
    <w:abstractNumId w:val="34"/>
  </w:num>
  <w:num w:numId="29" w16cid:durableId="964849744">
    <w:abstractNumId w:val="35"/>
  </w:num>
  <w:num w:numId="30" w16cid:durableId="1375539056">
    <w:abstractNumId w:val="8"/>
  </w:num>
  <w:num w:numId="31" w16cid:durableId="250968099">
    <w:abstractNumId w:val="3"/>
  </w:num>
  <w:num w:numId="32" w16cid:durableId="441388187">
    <w:abstractNumId w:val="33"/>
  </w:num>
  <w:num w:numId="33" w16cid:durableId="709569303">
    <w:abstractNumId w:val="22"/>
  </w:num>
  <w:num w:numId="34" w16cid:durableId="1196038670">
    <w:abstractNumId w:val="18"/>
  </w:num>
  <w:num w:numId="35" w16cid:durableId="110244934">
    <w:abstractNumId w:val="26"/>
  </w:num>
  <w:num w:numId="36" w16cid:durableId="390886349">
    <w:abstractNumId w:val="24"/>
  </w:num>
  <w:num w:numId="37" w16cid:durableId="143663703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14"/>
    <w:rsid w:val="00000592"/>
    <w:rsid w:val="00000C8E"/>
    <w:rsid w:val="00000E22"/>
    <w:rsid w:val="000031BC"/>
    <w:rsid w:val="00006B73"/>
    <w:rsid w:val="00014A79"/>
    <w:rsid w:val="00014D0D"/>
    <w:rsid w:val="000166E3"/>
    <w:rsid w:val="000234B1"/>
    <w:rsid w:val="000655C3"/>
    <w:rsid w:val="00066A30"/>
    <w:rsid w:val="00066ED5"/>
    <w:rsid w:val="00067F48"/>
    <w:rsid w:val="000754D9"/>
    <w:rsid w:val="00076D93"/>
    <w:rsid w:val="00084B10"/>
    <w:rsid w:val="000A0B06"/>
    <w:rsid w:val="000A5263"/>
    <w:rsid w:val="000A57F6"/>
    <w:rsid w:val="000B024F"/>
    <w:rsid w:val="000C3FED"/>
    <w:rsid w:val="000D01D6"/>
    <w:rsid w:val="000D37A4"/>
    <w:rsid w:val="000D7D8D"/>
    <w:rsid w:val="000E397D"/>
    <w:rsid w:val="000F7114"/>
    <w:rsid w:val="000F7916"/>
    <w:rsid w:val="00101B3F"/>
    <w:rsid w:val="00102DC9"/>
    <w:rsid w:val="001123B4"/>
    <w:rsid w:val="00114DDA"/>
    <w:rsid w:val="00117202"/>
    <w:rsid w:val="00122BDC"/>
    <w:rsid w:val="0012306B"/>
    <w:rsid w:val="00124393"/>
    <w:rsid w:val="001256EC"/>
    <w:rsid w:val="0013401E"/>
    <w:rsid w:val="00146503"/>
    <w:rsid w:val="00164BDD"/>
    <w:rsid w:val="0016707A"/>
    <w:rsid w:val="0016775F"/>
    <w:rsid w:val="0017430C"/>
    <w:rsid w:val="00176FDD"/>
    <w:rsid w:val="00186AD2"/>
    <w:rsid w:val="001941FE"/>
    <w:rsid w:val="001A2DEF"/>
    <w:rsid w:val="001B2A87"/>
    <w:rsid w:val="001B47D7"/>
    <w:rsid w:val="001C086F"/>
    <w:rsid w:val="001C31F4"/>
    <w:rsid w:val="001C6077"/>
    <w:rsid w:val="001D61CE"/>
    <w:rsid w:val="00202C0A"/>
    <w:rsid w:val="00205D26"/>
    <w:rsid w:val="0021741B"/>
    <w:rsid w:val="00224236"/>
    <w:rsid w:val="002266F9"/>
    <w:rsid w:val="002424FA"/>
    <w:rsid w:val="00253204"/>
    <w:rsid w:val="0026274B"/>
    <w:rsid w:val="0027616F"/>
    <w:rsid w:val="00294EFA"/>
    <w:rsid w:val="00296580"/>
    <w:rsid w:val="002A5D77"/>
    <w:rsid w:val="002A7DDE"/>
    <w:rsid w:val="002C1720"/>
    <w:rsid w:val="002D124F"/>
    <w:rsid w:val="002E55A7"/>
    <w:rsid w:val="002E6CBC"/>
    <w:rsid w:val="002F365C"/>
    <w:rsid w:val="00302E9D"/>
    <w:rsid w:val="003069BE"/>
    <w:rsid w:val="00310170"/>
    <w:rsid w:val="003129F8"/>
    <w:rsid w:val="003338D6"/>
    <w:rsid w:val="0034354E"/>
    <w:rsid w:val="003442A0"/>
    <w:rsid w:val="00352B58"/>
    <w:rsid w:val="00353C25"/>
    <w:rsid w:val="003540E7"/>
    <w:rsid w:val="0035498F"/>
    <w:rsid w:val="00380EA6"/>
    <w:rsid w:val="00395029"/>
    <w:rsid w:val="003B43D1"/>
    <w:rsid w:val="003C2A27"/>
    <w:rsid w:val="003D3FFB"/>
    <w:rsid w:val="003D6997"/>
    <w:rsid w:val="003E6609"/>
    <w:rsid w:val="00402DC7"/>
    <w:rsid w:val="004030D9"/>
    <w:rsid w:val="00404070"/>
    <w:rsid w:val="004061A7"/>
    <w:rsid w:val="00406290"/>
    <w:rsid w:val="00412EE2"/>
    <w:rsid w:val="004133EB"/>
    <w:rsid w:val="00413B90"/>
    <w:rsid w:val="00417A4D"/>
    <w:rsid w:val="0042627D"/>
    <w:rsid w:val="00430FD1"/>
    <w:rsid w:val="00435651"/>
    <w:rsid w:val="00435905"/>
    <w:rsid w:val="0043630C"/>
    <w:rsid w:val="00446C08"/>
    <w:rsid w:val="00446F30"/>
    <w:rsid w:val="0045114D"/>
    <w:rsid w:val="004626F1"/>
    <w:rsid w:val="004657C5"/>
    <w:rsid w:val="004657F8"/>
    <w:rsid w:val="00476AC8"/>
    <w:rsid w:val="004830C9"/>
    <w:rsid w:val="00494B37"/>
    <w:rsid w:val="004951B9"/>
    <w:rsid w:val="004A1133"/>
    <w:rsid w:val="004A1A78"/>
    <w:rsid w:val="004B29E8"/>
    <w:rsid w:val="004B656E"/>
    <w:rsid w:val="004B7E2F"/>
    <w:rsid w:val="004C73B3"/>
    <w:rsid w:val="004E1301"/>
    <w:rsid w:val="004E1589"/>
    <w:rsid w:val="004E6BA9"/>
    <w:rsid w:val="004F50B6"/>
    <w:rsid w:val="00512A49"/>
    <w:rsid w:val="005227B6"/>
    <w:rsid w:val="00530B17"/>
    <w:rsid w:val="005328C8"/>
    <w:rsid w:val="00556775"/>
    <w:rsid w:val="0058103A"/>
    <w:rsid w:val="00582BF5"/>
    <w:rsid w:val="00583786"/>
    <w:rsid w:val="0059341A"/>
    <w:rsid w:val="005953BE"/>
    <w:rsid w:val="00596E06"/>
    <w:rsid w:val="005A3309"/>
    <w:rsid w:val="005A464D"/>
    <w:rsid w:val="005A66C2"/>
    <w:rsid w:val="005B0F60"/>
    <w:rsid w:val="005C08CA"/>
    <w:rsid w:val="005D1C77"/>
    <w:rsid w:val="005D263F"/>
    <w:rsid w:val="005D304A"/>
    <w:rsid w:val="005E2134"/>
    <w:rsid w:val="005E5577"/>
    <w:rsid w:val="005E7F38"/>
    <w:rsid w:val="005F3694"/>
    <w:rsid w:val="0060144B"/>
    <w:rsid w:val="006037EF"/>
    <w:rsid w:val="006241DB"/>
    <w:rsid w:val="006301DA"/>
    <w:rsid w:val="00641879"/>
    <w:rsid w:val="00646C37"/>
    <w:rsid w:val="006479BC"/>
    <w:rsid w:val="006520A6"/>
    <w:rsid w:val="0065312A"/>
    <w:rsid w:val="00653D26"/>
    <w:rsid w:val="00653DA5"/>
    <w:rsid w:val="006611E3"/>
    <w:rsid w:val="00667644"/>
    <w:rsid w:val="006778B2"/>
    <w:rsid w:val="006808FA"/>
    <w:rsid w:val="0068377C"/>
    <w:rsid w:val="00693D6F"/>
    <w:rsid w:val="006C1571"/>
    <w:rsid w:val="006C4656"/>
    <w:rsid w:val="006E08C3"/>
    <w:rsid w:val="00700796"/>
    <w:rsid w:val="0070588F"/>
    <w:rsid w:val="00716402"/>
    <w:rsid w:val="00723703"/>
    <w:rsid w:val="007241D6"/>
    <w:rsid w:val="007271FE"/>
    <w:rsid w:val="00727AEB"/>
    <w:rsid w:val="00735C66"/>
    <w:rsid w:val="007430A7"/>
    <w:rsid w:val="00743288"/>
    <w:rsid w:val="007458C8"/>
    <w:rsid w:val="00746063"/>
    <w:rsid w:val="007465F6"/>
    <w:rsid w:val="00746A92"/>
    <w:rsid w:val="00750F6D"/>
    <w:rsid w:val="00752D14"/>
    <w:rsid w:val="007625A6"/>
    <w:rsid w:val="007658B4"/>
    <w:rsid w:val="007821F0"/>
    <w:rsid w:val="007853D0"/>
    <w:rsid w:val="007900F1"/>
    <w:rsid w:val="0079449C"/>
    <w:rsid w:val="007978E7"/>
    <w:rsid w:val="007B2E0C"/>
    <w:rsid w:val="007B6446"/>
    <w:rsid w:val="007E65A0"/>
    <w:rsid w:val="007F2A15"/>
    <w:rsid w:val="007F32C2"/>
    <w:rsid w:val="007F3C5F"/>
    <w:rsid w:val="00802BB3"/>
    <w:rsid w:val="00804A28"/>
    <w:rsid w:val="008130A8"/>
    <w:rsid w:val="00813DDE"/>
    <w:rsid w:val="008408C6"/>
    <w:rsid w:val="00842B55"/>
    <w:rsid w:val="00844528"/>
    <w:rsid w:val="008602C9"/>
    <w:rsid w:val="00863AF9"/>
    <w:rsid w:val="00872091"/>
    <w:rsid w:val="00875AD6"/>
    <w:rsid w:val="008768A2"/>
    <w:rsid w:val="00893376"/>
    <w:rsid w:val="008A6F03"/>
    <w:rsid w:val="008A7F63"/>
    <w:rsid w:val="008B1E98"/>
    <w:rsid w:val="008C58DB"/>
    <w:rsid w:val="008C5B74"/>
    <w:rsid w:val="008C7503"/>
    <w:rsid w:val="008D4CCC"/>
    <w:rsid w:val="008D6258"/>
    <w:rsid w:val="008D6E43"/>
    <w:rsid w:val="008E45AB"/>
    <w:rsid w:val="008F140E"/>
    <w:rsid w:val="008F3200"/>
    <w:rsid w:val="009060F5"/>
    <w:rsid w:val="00906901"/>
    <w:rsid w:val="00906F5F"/>
    <w:rsid w:val="00912005"/>
    <w:rsid w:val="00925028"/>
    <w:rsid w:val="00932911"/>
    <w:rsid w:val="009477B2"/>
    <w:rsid w:val="0095665E"/>
    <w:rsid w:val="009616F7"/>
    <w:rsid w:val="00963F17"/>
    <w:rsid w:val="00970DEA"/>
    <w:rsid w:val="009719F8"/>
    <w:rsid w:val="0098279E"/>
    <w:rsid w:val="00997B30"/>
    <w:rsid w:val="009A250B"/>
    <w:rsid w:val="009A3BFD"/>
    <w:rsid w:val="009B6896"/>
    <w:rsid w:val="009B6CE7"/>
    <w:rsid w:val="009C605E"/>
    <w:rsid w:val="009D4C70"/>
    <w:rsid w:val="009D7EF2"/>
    <w:rsid w:val="009E139C"/>
    <w:rsid w:val="00A06EE4"/>
    <w:rsid w:val="00A078A9"/>
    <w:rsid w:val="00A1001A"/>
    <w:rsid w:val="00A1424E"/>
    <w:rsid w:val="00A153D7"/>
    <w:rsid w:val="00A26FA3"/>
    <w:rsid w:val="00A37D17"/>
    <w:rsid w:val="00A51A4B"/>
    <w:rsid w:val="00A5246B"/>
    <w:rsid w:val="00A61299"/>
    <w:rsid w:val="00A633AF"/>
    <w:rsid w:val="00A8364F"/>
    <w:rsid w:val="00A95A0F"/>
    <w:rsid w:val="00A97B0A"/>
    <w:rsid w:val="00AC0958"/>
    <w:rsid w:val="00AC23F4"/>
    <w:rsid w:val="00AC3D44"/>
    <w:rsid w:val="00AC415A"/>
    <w:rsid w:val="00AD2B2C"/>
    <w:rsid w:val="00AE4A1D"/>
    <w:rsid w:val="00AF2060"/>
    <w:rsid w:val="00AF2DDC"/>
    <w:rsid w:val="00AF3DC3"/>
    <w:rsid w:val="00AF57F6"/>
    <w:rsid w:val="00AF7ACE"/>
    <w:rsid w:val="00B0480F"/>
    <w:rsid w:val="00B04F92"/>
    <w:rsid w:val="00B10109"/>
    <w:rsid w:val="00B23F89"/>
    <w:rsid w:val="00B32E49"/>
    <w:rsid w:val="00B3741E"/>
    <w:rsid w:val="00B8234D"/>
    <w:rsid w:val="00B823D3"/>
    <w:rsid w:val="00B87F99"/>
    <w:rsid w:val="00B96993"/>
    <w:rsid w:val="00BA54C0"/>
    <w:rsid w:val="00BA75CF"/>
    <w:rsid w:val="00BA7BE0"/>
    <w:rsid w:val="00BD638E"/>
    <w:rsid w:val="00BE01DC"/>
    <w:rsid w:val="00BE43C9"/>
    <w:rsid w:val="00BE624D"/>
    <w:rsid w:val="00BF0EC0"/>
    <w:rsid w:val="00BF3A87"/>
    <w:rsid w:val="00C145F1"/>
    <w:rsid w:val="00C32837"/>
    <w:rsid w:val="00C33D78"/>
    <w:rsid w:val="00C452EA"/>
    <w:rsid w:val="00C47C07"/>
    <w:rsid w:val="00C559C4"/>
    <w:rsid w:val="00C61003"/>
    <w:rsid w:val="00C74E42"/>
    <w:rsid w:val="00C75E18"/>
    <w:rsid w:val="00C77693"/>
    <w:rsid w:val="00C778A1"/>
    <w:rsid w:val="00C91CBC"/>
    <w:rsid w:val="00C93182"/>
    <w:rsid w:val="00C93481"/>
    <w:rsid w:val="00CA569C"/>
    <w:rsid w:val="00CA6126"/>
    <w:rsid w:val="00CA66F1"/>
    <w:rsid w:val="00CA68E5"/>
    <w:rsid w:val="00CC44F9"/>
    <w:rsid w:val="00CD4B4F"/>
    <w:rsid w:val="00CE1F0E"/>
    <w:rsid w:val="00CF32FF"/>
    <w:rsid w:val="00CF5E1F"/>
    <w:rsid w:val="00D03B48"/>
    <w:rsid w:val="00D05B1E"/>
    <w:rsid w:val="00D15395"/>
    <w:rsid w:val="00D172CF"/>
    <w:rsid w:val="00D323AF"/>
    <w:rsid w:val="00D3546B"/>
    <w:rsid w:val="00D36161"/>
    <w:rsid w:val="00D60635"/>
    <w:rsid w:val="00D626B8"/>
    <w:rsid w:val="00D77992"/>
    <w:rsid w:val="00D80449"/>
    <w:rsid w:val="00D81AE8"/>
    <w:rsid w:val="00D82C1C"/>
    <w:rsid w:val="00D86F41"/>
    <w:rsid w:val="00D9398B"/>
    <w:rsid w:val="00D94F4F"/>
    <w:rsid w:val="00D9526B"/>
    <w:rsid w:val="00DA5D26"/>
    <w:rsid w:val="00DB1A21"/>
    <w:rsid w:val="00DB1A27"/>
    <w:rsid w:val="00DB5CAE"/>
    <w:rsid w:val="00DC157F"/>
    <w:rsid w:val="00DD41B6"/>
    <w:rsid w:val="00DD7586"/>
    <w:rsid w:val="00DE6D97"/>
    <w:rsid w:val="00DF2E0D"/>
    <w:rsid w:val="00E20B1E"/>
    <w:rsid w:val="00E436E0"/>
    <w:rsid w:val="00E43757"/>
    <w:rsid w:val="00E45D1C"/>
    <w:rsid w:val="00E522C9"/>
    <w:rsid w:val="00E53CFD"/>
    <w:rsid w:val="00E54420"/>
    <w:rsid w:val="00E57473"/>
    <w:rsid w:val="00E77499"/>
    <w:rsid w:val="00E80345"/>
    <w:rsid w:val="00E8098F"/>
    <w:rsid w:val="00E90921"/>
    <w:rsid w:val="00E90959"/>
    <w:rsid w:val="00E91082"/>
    <w:rsid w:val="00E928E6"/>
    <w:rsid w:val="00EC3B4C"/>
    <w:rsid w:val="00EC3C1F"/>
    <w:rsid w:val="00EC762B"/>
    <w:rsid w:val="00ED40FF"/>
    <w:rsid w:val="00ED6F1E"/>
    <w:rsid w:val="00EE3450"/>
    <w:rsid w:val="00F05E8A"/>
    <w:rsid w:val="00F108A7"/>
    <w:rsid w:val="00F158F9"/>
    <w:rsid w:val="00F1636D"/>
    <w:rsid w:val="00F22FB4"/>
    <w:rsid w:val="00F26BBF"/>
    <w:rsid w:val="00F33D52"/>
    <w:rsid w:val="00F34899"/>
    <w:rsid w:val="00F362C9"/>
    <w:rsid w:val="00F461AB"/>
    <w:rsid w:val="00F52D70"/>
    <w:rsid w:val="00F53863"/>
    <w:rsid w:val="00F5524F"/>
    <w:rsid w:val="00F573EF"/>
    <w:rsid w:val="00F635F1"/>
    <w:rsid w:val="00F8015B"/>
    <w:rsid w:val="00F8156B"/>
    <w:rsid w:val="00F81B60"/>
    <w:rsid w:val="00F82FFD"/>
    <w:rsid w:val="00FA7D8E"/>
    <w:rsid w:val="00FB5E3E"/>
    <w:rsid w:val="00FB6714"/>
    <w:rsid w:val="00FC68BA"/>
    <w:rsid w:val="00FD6D98"/>
    <w:rsid w:val="00FD7EB4"/>
    <w:rsid w:val="00F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C8ACD"/>
  <w15:docId w15:val="{4AD76775-6584-45E4-A8E8-5E87D053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2E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E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75CF"/>
    <w:rPr>
      <w:b/>
      <w:bCs/>
    </w:rPr>
  </w:style>
  <w:style w:type="character" w:customStyle="1" w:styleId="CommentSubjectChar">
    <w:name w:val="Comment Subject Char"/>
    <w:basedOn w:val="CommentTextChar"/>
    <w:link w:val="CommentSubject"/>
    <w:uiPriority w:val="99"/>
    <w:semiHidden/>
    <w:rsid w:val="00BA75CF"/>
    <w:rPr>
      <w:b/>
      <w:bCs/>
      <w:sz w:val="20"/>
      <w:szCs w:val="20"/>
    </w:rPr>
  </w:style>
  <w:style w:type="paragraph" w:styleId="FootnoteText">
    <w:name w:val="footnote text"/>
    <w:basedOn w:val="Normal"/>
    <w:link w:val="FootnoteTextChar"/>
    <w:uiPriority w:val="99"/>
    <w:semiHidden/>
    <w:unhideWhenUsed/>
    <w:rsid w:val="00B3741E"/>
    <w:pPr>
      <w:spacing w:line="240" w:lineRule="auto"/>
    </w:pPr>
    <w:rPr>
      <w:sz w:val="20"/>
      <w:szCs w:val="20"/>
    </w:rPr>
  </w:style>
  <w:style w:type="character" w:customStyle="1" w:styleId="FootnoteTextChar">
    <w:name w:val="Footnote Text Char"/>
    <w:basedOn w:val="DefaultParagraphFont"/>
    <w:link w:val="FootnoteText"/>
    <w:uiPriority w:val="99"/>
    <w:semiHidden/>
    <w:rsid w:val="00B3741E"/>
    <w:rPr>
      <w:sz w:val="20"/>
      <w:szCs w:val="20"/>
    </w:rPr>
  </w:style>
  <w:style w:type="character" w:styleId="FootnoteReference">
    <w:name w:val="footnote reference"/>
    <w:basedOn w:val="DefaultParagraphFont"/>
    <w:uiPriority w:val="99"/>
    <w:semiHidden/>
    <w:unhideWhenUsed/>
    <w:rsid w:val="00B3741E"/>
    <w:rPr>
      <w:vertAlign w:val="superscript"/>
    </w:rPr>
  </w:style>
  <w:style w:type="paragraph" w:styleId="NoSpacing">
    <w:name w:val="No Spacing"/>
    <w:link w:val="NoSpacingChar"/>
    <w:uiPriority w:val="1"/>
    <w:qFormat/>
    <w:rsid w:val="00D82C1C"/>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82C1C"/>
    <w:rPr>
      <w:rFonts w:asciiTheme="minorHAnsi" w:eastAsiaTheme="minorEastAsia" w:hAnsiTheme="minorHAnsi" w:cstheme="minorBidi"/>
    </w:rPr>
  </w:style>
  <w:style w:type="table" w:customStyle="1" w:styleId="TableGrid1">
    <w:name w:val="Table Grid1"/>
    <w:basedOn w:val="TableNormal"/>
    <w:next w:val="TableGrid"/>
    <w:uiPriority w:val="59"/>
    <w:rsid w:val="00D82C1C"/>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2C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57F6"/>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F57F6"/>
    <w:rPr>
      <w:rFonts w:asciiTheme="minorHAnsi" w:eastAsiaTheme="minorHAnsi" w:hAnsiTheme="minorHAnsi" w:cstheme="minorBidi"/>
    </w:rPr>
  </w:style>
  <w:style w:type="paragraph" w:styleId="Header">
    <w:name w:val="header"/>
    <w:basedOn w:val="Normal"/>
    <w:link w:val="HeaderChar"/>
    <w:uiPriority w:val="99"/>
    <w:unhideWhenUsed/>
    <w:rsid w:val="003C2A27"/>
    <w:pPr>
      <w:tabs>
        <w:tab w:val="center" w:pos="4680"/>
        <w:tab w:val="right" w:pos="9360"/>
      </w:tabs>
      <w:spacing w:line="240" w:lineRule="auto"/>
    </w:pPr>
  </w:style>
  <w:style w:type="character" w:customStyle="1" w:styleId="HeaderChar">
    <w:name w:val="Header Char"/>
    <w:basedOn w:val="DefaultParagraphFont"/>
    <w:link w:val="Header"/>
    <w:uiPriority w:val="99"/>
    <w:rsid w:val="003C2A27"/>
  </w:style>
  <w:style w:type="character" w:styleId="Hyperlink">
    <w:name w:val="Hyperlink"/>
    <w:basedOn w:val="DefaultParagraphFont"/>
    <w:uiPriority w:val="99"/>
    <w:unhideWhenUsed/>
    <w:qFormat/>
    <w:rsid w:val="00CA66F1"/>
    <w:rPr>
      <w:color w:val="0000FF" w:themeColor="hyperlink"/>
      <w:u w:val="single"/>
    </w:rPr>
  </w:style>
  <w:style w:type="character" w:styleId="UnresolvedMention">
    <w:name w:val="Unresolved Mention"/>
    <w:basedOn w:val="DefaultParagraphFont"/>
    <w:uiPriority w:val="99"/>
    <w:semiHidden/>
    <w:unhideWhenUsed/>
    <w:rsid w:val="00CA66F1"/>
    <w:rPr>
      <w:color w:val="605E5C"/>
      <w:shd w:val="clear" w:color="auto" w:fill="E1DFDD"/>
    </w:rPr>
  </w:style>
  <w:style w:type="character" w:styleId="FollowedHyperlink">
    <w:name w:val="FollowedHyperlink"/>
    <w:basedOn w:val="DefaultParagraphFont"/>
    <w:uiPriority w:val="99"/>
    <w:semiHidden/>
    <w:unhideWhenUsed/>
    <w:rsid w:val="005328C8"/>
    <w:rPr>
      <w:color w:val="800080" w:themeColor="followedHyperlink"/>
      <w:u w:val="single"/>
    </w:rPr>
  </w:style>
  <w:style w:type="paragraph" w:styleId="ListParagraph">
    <w:name w:val="List Paragraph"/>
    <w:basedOn w:val="Normal"/>
    <w:uiPriority w:val="34"/>
    <w:qFormat/>
    <w:rsid w:val="00D05B1E"/>
    <w:pPr>
      <w:ind w:left="720"/>
      <w:contextualSpacing/>
    </w:pPr>
  </w:style>
  <w:style w:type="paragraph" w:styleId="BodyText">
    <w:name w:val="Body Text"/>
    <w:basedOn w:val="Normal"/>
    <w:link w:val="BodyTextChar"/>
    <w:uiPriority w:val="99"/>
    <w:semiHidden/>
    <w:unhideWhenUsed/>
    <w:rsid w:val="00646C37"/>
    <w:pPr>
      <w:spacing w:after="120"/>
    </w:pPr>
  </w:style>
  <w:style w:type="character" w:customStyle="1" w:styleId="BodyTextChar">
    <w:name w:val="Body Text Char"/>
    <w:basedOn w:val="DefaultParagraphFont"/>
    <w:link w:val="BodyText"/>
    <w:uiPriority w:val="99"/>
    <w:semiHidden/>
    <w:rsid w:val="00646C37"/>
  </w:style>
  <w:style w:type="character" w:styleId="PageNumber">
    <w:name w:val="page number"/>
    <w:basedOn w:val="DefaultParagraphFont"/>
    <w:uiPriority w:val="99"/>
    <w:semiHidden/>
    <w:unhideWhenUsed/>
    <w:rsid w:val="000234B1"/>
  </w:style>
  <w:style w:type="paragraph" w:styleId="Revision">
    <w:name w:val="Revision"/>
    <w:hidden/>
    <w:uiPriority w:val="99"/>
    <w:semiHidden/>
    <w:rsid w:val="009A250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79788">
      <w:bodyDiv w:val="1"/>
      <w:marLeft w:val="0"/>
      <w:marRight w:val="0"/>
      <w:marTop w:val="0"/>
      <w:marBottom w:val="0"/>
      <w:divBdr>
        <w:top w:val="none" w:sz="0" w:space="0" w:color="auto"/>
        <w:left w:val="none" w:sz="0" w:space="0" w:color="auto"/>
        <w:bottom w:val="none" w:sz="0" w:space="0" w:color="auto"/>
        <w:right w:val="none" w:sz="0" w:space="0" w:color="auto"/>
      </w:divBdr>
    </w:div>
    <w:div w:id="1742022743">
      <w:bodyDiv w:val="1"/>
      <w:marLeft w:val="0"/>
      <w:marRight w:val="0"/>
      <w:marTop w:val="0"/>
      <w:marBottom w:val="0"/>
      <w:divBdr>
        <w:top w:val="none" w:sz="0" w:space="0" w:color="auto"/>
        <w:left w:val="none" w:sz="0" w:space="0" w:color="auto"/>
        <w:bottom w:val="none" w:sz="0" w:space="0" w:color="auto"/>
        <w:right w:val="none" w:sz="0" w:space="0" w:color="auto"/>
      </w:divBdr>
    </w:div>
    <w:div w:id="1830363403">
      <w:bodyDiv w:val="1"/>
      <w:marLeft w:val="0"/>
      <w:marRight w:val="0"/>
      <w:marTop w:val="0"/>
      <w:marBottom w:val="0"/>
      <w:divBdr>
        <w:top w:val="none" w:sz="0" w:space="0" w:color="auto"/>
        <w:left w:val="none" w:sz="0" w:space="0" w:color="auto"/>
        <w:bottom w:val="none" w:sz="0" w:space="0" w:color="auto"/>
        <w:right w:val="none" w:sz="0" w:space="0" w:color="auto"/>
      </w:divBdr>
    </w:div>
    <w:div w:id="2006980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esident.asu.edu/asu-mission-and-goals" TargetMode="External"/><Relationship Id="rId21" Type="http://schemas.openxmlformats.org/officeDocument/2006/relationships/hyperlink" Target="https://public.powerdms.com/ASU/documents/1541089" TargetMode="External"/><Relationship Id="rId42" Type="http://schemas.openxmlformats.org/officeDocument/2006/relationships/hyperlink" Target="https://public.powerdms.com/ASU/documents/1541221" TargetMode="External"/><Relationship Id="rId47" Type="http://schemas.openxmlformats.org/officeDocument/2006/relationships/hyperlink" Target="https://newamericanuniversity.asu.edu/about/design-aspirations" TargetMode="External"/><Relationship Id="rId63" Type="http://schemas.openxmlformats.org/officeDocument/2006/relationships/hyperlink" Target="https://public.powerdms.com/ASU/documents/1546917" TargetMode="External"/><Relationship Id="rId68" Type="http://schemas.openxmlformats.org/officeDocument/2006/relationships/hyperlink" Target="https://president.asu.edu/asu-mission-and-goals" TargetMode="External"/><Relationship Id="rId84" Type="http://schemas.openxmlformats.org/officeDocument/2006/relationships/hyperlink" Target="https://www.aau.edu/who-we-are/our-members" TargetMode="External"/><Relationship Id="rId16" Type="http://schemas.openxmlformats.org/officeDocument/2006/relationships/hyperlink" Target="https://public.powerdms.com/ASU/documents/1540244" TargetMode="External"/><Relationship Id="rId11" Type="http://schemas.openxmlformats.org/officeDocument/2006/relationships/header" Target="header2.xml"/><Relationship Id="rId32" Type="http://schemas.openxmlformats.org/officeDocument/2006/relationships/hyperlink" Target="https://public.powerdms.com/ASU/documents/1541231" TargetMode="External"/><Relationship Id="rId37" Type="http://schemas.openxmlformats.org/officeDocument/2006/relationships/hyperlink" Target="https://public.powerdms.com/ASU/documents/1541089" TargetMode="External"/><Relationship Id="rId53" Type="http://schemas.openxmlformats.org/officeDocument/2006/relationships/hyperlink" Target="https://public.powerdms.com/ASU/documents/1542013" TargetMode="External"/><Relationship Id="rId58" Type="http://schemas.openxmlformats.org/officeDocument/2006/relationships/hyperlink" Target="https://public.powerdms.com/ASU/documents/1546892" TargetMode="External"/><Relationship Id="rId74" Type="http://schemas.openxmlformats.org/officeDocument/2006/relationships/hyperlink" Target="https://academicpersonnel.asu.edu/personnel-processes" TargetMode="External"/><Relationship Id="rId79" Type="http://schemas.openxmlformats.org/officeDocument/2006/relationships/hyperlink" Target="https://newamericanuniversity.asu.edu/about/design-aspirations" TargetMode="External"/><Relationship Id="rId5" Type="http://schemas.openxmlformats.org/officeDocument/2006/relationships/webSettings" Target="webSettings.xml"/><Relationship Id="rId19" Type="http://schemas.openxmlformats.org/officeDocument/2006/relationships/hyperlink" Target="https://president.asu.edu/asu-mission-and-goals" TargetMode="External"/><Relationship Id="rId14" Type="http://schemas.openxmlformats.org/officeDocument/2006/relationships/hyperlink" Target="https://www.azregents.edu/policy-manual" TargetMode="External"/><Relationship Id="rId22" Type="http://schemas.openxmlformats.org/officeDocument/2006/relationships/hyperlink" Target="https://public.powerdms.com/ASU/documents/1542060" TargetMode="External"/><Relationship Id="rId27" Type="http://schemas.openxmlformats.org/officeDocument/2006/relationships/hyperlink" Target="https://newamericanuniversity.asu.edu/about/design-aspirations" TargetMode="External"/><Relationship Id="rId30" Type="http://schemas.openxmlformats.org/officeDocument/2006/relationships/hyperlink" Target="https://public.powerdms.com/ASU/documents/1541089" TargetMode="External"/><Relationship Id="rId35" Type="http://schemas.openxmlformats.org/officeDocument/2006/relationships/hyperlink" Target="https://president.asu.edu/asu-mission-and-goals" TargetMode="External"/><Relationship Id="rId43" Type="http://schemas.openxmlformats.org/officeDocument/2006/relationships/hyperlink" Target="https://public.powerdms.com/ASU/documents/1542013" TargetMode="External"/><Relationship Id="rId48" Type="http://schemas.openxmlformats.org/officeDocument/2006/relationships/hyperlink" Target="https://academicpersonnel.asu.edu/personnel-processes" TargetMode="External"/><Relationship Id="rId56" Type="http://schemas.openxmlformats.org/officeDocument/2006/relationships/hyperlink" Target="https://provost.asu.edu/policies/procedures/p3" TargetMode="External"/><Relationship Id="rId64" Type="http://schemas.openxmlformats.org/officeDocument/2006/relationships/hyperlink" Target="https://public.powerdms.com/ASU/documents/1542060" TargetMode="External"/><Relationship Id="rId69" Type="http://schemas.openxmlformats.org/officeDocument/2006/relationships/hyperlink" Target="https://newamericanuniversity.asu.edu/about/design-aspirations" TargetMode="External"/><Relationship Id="rId77" Type="http://schemas.openxmlformats.org/officeDocument/2006/relationships/hyperlink" Target="https://newamericanuniversity.asu.edu/about/design-aspirations" TargetMode="External"/><Relationship Id="rId8" Type="http://schemas.openxmlformats.org/officeDocument/2006/relationships/header" Target="header1.xml"/><Relationship Id="rId51" Type="http://schemas.openxmlformats.org/officeDocument/2006/relationships/hyperlink" Target="https://public.powerdms.com/ASU/documents/1542060" TargetMode="External"/><Relationship Id="rId72" Type="http://schemas.openxmlformats.org/officeDocument/2006/relationships/hyperlink" Target="https://academicpersonnel.asu.edu/sites/default/files/schedule-academic-personnel-actions-2023-2024.pdf" TargetMode="External"/><Relationship Id="rId80" Type="http://schemas.openxmlformats.org/officeDocument/2006/relationships/hyperlink" Target="https://public.powerdms.com/ASU/documents/1542060"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president.asu.edu/asu-mission-and-goals" TargetMode="External"/><Relationship Id="rId25" Type="http://schemas.openxmlformats.org/officeDocument/2006/relationships/hyperlink" Target="https://public.powerdms.com/ASU/documents/1546947" TargetMode="External"/><Relationship Id="rId33" Type="http://schemas.openxmlformats.org/officeDocument/2006/relationships/hyperlink" Target="https://public.powerdms.com/ASU/documents/1541240" TargetMode="External"/><Relationship Id="rId38" Type="http://schemas.openxmlformats.org/officeDocument/2006/relationships/hyperlink" Target="https://public.powerdms.com/ASU/documents/1541294" TargetMode="External"/><Relationship Id="rId46" Type="http://schemas.openxmlformats.org/officeDocument/2006/relationships/hyperlink" Target="https://president.asu.edu/asu-mission-and-goals" TargetMode="External"/><Relationship Id="rId59" Type="http://schemas.openxmlformats.org/officeDocument/2006/relationships/hyperlink" Target="https://public.powerdms.com/ASU/documents/1542060" TargetMode="External"/><Relationship Id="rId67" Type="http://schemas.openxmlformats.org/officeDocument/2006/relationships/hyperlink" Target="https://public.powerdms.com/ASU/documents/1541949" TargetMode="External"/><Relationship Id="rId20" Type="http://schemas.openxmlformats.org/officeDocument/2006/relationships/hyperlink" Target="https://newamericanuniversity.asu.edu/about/design-aspirations" TargetMode="External"/><Relationship Id="rId41" Type="http://schemas.openxmlformats.org/officeDocument/2006/relationships/hyperlink" Target="https://public.powerdms.com/ASU/documents/1542062" TargetMode="External"/><Relationship Id="rId54" Type="http://schemas.openxmlformats.org/officeDocument/2006/relationships/hyperlink" Target="https://public.powerdms.com/ASU/documents/1546917" TargetMode="External"/><Relationship Id="rId62" Type="http://schemas.openxmlformats.org/officeDocument/2006/relationships/hyperlink" Target="https://public.powerdms.com/ASU/documents/1542013" TargetMode="External"/><Relationship Id="rId70" Type="http://schemas.openxmlformats.org/officeDocument/2006/relationships/hyperlink" Target="https://president.asu.edu/asu-mission-and-goals" TargetMode="External"/><Relationship Id="rId75" Type="http://schemas.openxmlformats.org/officeDocument/2006/relationships/hyperlink" Target="https://public.powerdms.com/ASU/documents/1541949" TargetMode="External"/><Relationship Id="rId83" Type="http://schemas.openxmlformats.org/officeDocument/2006/relationships/hyperlink" Target="https://academicpersonnel.asu.edu/personnel-process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u.edu/aad/manuals/mrnarchives/ACD/ACDMarch2017.pdf" TargetMode="External"/><Relationship Id="rId23" Type="http://schemas.openxmlformats.org/officeDocument/2006/relationships/hyperlink" Target="https://public.powerdms.com/ASU/documents/1546933" TargetMode="External"/><Relationship Id="rId28" Type="http://schemas.openxmlformats.org/officeDocument/2006/relationships/hyperlink" Target="https://public.powerdms.com/ASU/documents/1541089" TargetMode="External"/><Relationship Id="rId36" Type="http://schemas.openxmlformats.org/officeDocument/2006/relationships/hyperlink" Target="https://newamericanuniversity.asu.edu/about/design-aspirations" TargetMode="External"/><Relationship Id="rId49" Type="http://schemas.openxmlformats.org/officeDocument/2006/relationships/hyperlink" Target="https://provost.asu.edu/policies/procedures/p3" TargetMode="External"/><Relationship Id="rId57" Type="http://schemas.openxmlformats.org/officeDocument/2006/relationships/hyperlink" Target="https://academicpersonnel.asu.edu/personnel-processes" TargetMode="External"/><Relationship Id="rId10" Type="http://schemas.openxmlformats.org/officeDocument/2006/relationships/footer" Target="footer2.xml"/><Relationship Id="rId31" Type="http://schemas.openxmlformats.org/officeDocument/2006/relationships/hyperlink" Target="https://public.powerdms.com/ASU/documents/1541230" TargetMode="External"/><Relationship Id="rId44" Type="http://schemas.openxmlformats.org/officeDocument/2006/relationships/hyperlink" Target="https://public.powerdms.com/ASU/documents/1546917" TargetMode="External"/><Relationship Id="rId52" Type="http://schemas.openxmlformats.org/officeDocument/2006/relationships/hyperlink" Target="https://academicpersonnel.asu.edu/personnel-processes" TargetMode="External"/><Relationship Id="rId60" Type="http://schemas.openxmlformats.org/officeDocument/2006/relationships/hyperlink" Target="https://academicpersonnel.asu.edu/personnel-processes" TargetMode="External"/><Relationship Id="rId65" Type="http://schemas.openxmlformats.org/officeDocument/2006/relationships/hyperlink" Target="https://public.powerdms.com/ASU/documents/1542060" TargetMode="External"/><Relationship Id="rId73" Type="http://schemas.openxmlformats.org/officeDocument/2006/relationships/hyperlink" Target="https://academicpersonnel.asu.edu/personnel-processes" TargetMode="External"/><Relationship Id="rId78" Type="http://schemas.openxmlformats.org/officeDocument/2006/relationships/hyperlink" Target="https://president.asu.edu/asu-mission-and-goals" TargetMode="External"/><Relationship Id="rId81" Type="http://schemas.openxmlformats.org/officeDocument/2006/relationships/hyperlink" Target="https://academicpersonnel.asu.edu/sites/default/files/schedule-academic-personnel-actions-2023-2024.pdf"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public.powerdms.com/ASU/documents/1541949" TargetMode="External"/><Relationship Id="rId18" Type="http://schemas.openxmlformats.org/officeDocument/2006/relationships/hyperlink" Target="https://newamericanuniversity.asu.edu/about/design-aspirations" TargetMode="External"/><Relationship Id="rId39" Type="http://schemas.openxmlformats.org/officeDocument/2006/relationships/hyperlink" Target="https://public.powerdms.com/ASU/documents/1542060" TargetMode="External"/><Relationship Id="rId34" Type="http://schemas.openxmlformats.org/officeDocument/2006/relationships/hyperlink" Target="https://public.powerdms.com/ASU/documents/1542060" TargetMode="External"/><Relationship Id="rId50" Type="http://schemas.openxmlformats.org/officeDocument/2006/relationships/hyperlink" Target="https://public.powerdms.com/ASU/documents/1542026" TargetMode="External"/><Relationship Id="rId55" Type="http://schemas.openxmlformats.org/officeDocument/2006/relationships/hyperlink" Target="https://public.powerdms.com/ASU/documents/1542060" TargetMode="External"/><Relationship Id="rId76" Type="http://schemas.openxmlformats.org/officeDocument/2006/relationships/hyperlink" Target="https://president.asu.edu/asu-mission-and-goals" TargetMode="External"/><Relationship Id="rId7" Type="http://schemas.openxmlformats.org/officeDocument/2006/relationships/endnotes" Target="endnotes.xml"/><Relationship Id="rId71" Type="http://schemas.openxmlformats.org/officeDocument/2006/relationships/hyperlink" Target="https://newamericanuniversity.asu.edu/about/design-aspirations" TargetMode="External"/><Relationship Id="rId2" Type="http://schemas.openxmlformats.org/officeDocument/2006/relationships/numbering" Target="numbering.xml"/><Relationship Id="rId29" Type="http://schemas.openxmlformats.org/officeDocument/2006/relationships/hyperlink" Target="https://public.powerdms.com/ASU/documents/1541240" TargetMode="External"/><Relationship Id="rId24" Type="http://schemas.openxmlformats.org/officeDocument/2006/relationships/hyperlink" Target="https://public.powerdms.com/ASU/documents/1546939" TargetMode="External"/><Relationship Id="rId40" Type="http://schemas.openxmlformats.org/officeDocument/2006/relationships/hyperlink" Target="https://public.powerdms.com/ASU/documents/1547043" TargetMode="External"/><Relationship Id="rId45" Type="http://schemas.openxmlformats.org/officeDocument/2006/relationships/hyperlink" Target="https://public.powerdms.com/ASU/documents/1542060" TargetMode="External"/><Relationship Id="rId66" Type="http://schemas.openxmlformats.org/officeDocument/2006/relationships/hyperlink" Target="https://provost.asu.edu/sites/default/files/page/1562/p6-process-guide-_fixed-term-faculty-promotion-20210913.pdf" TargetMode="External"/><Relationship Id="rId87" Type="http://schemas.openxmlformats.org/officeDocument/2006/relationships/theme" Target="theme/theme1.xml"/><Relationship Id="rId61" Type="http://schemas.openxmlformats.org/officeDocument/2006/relationships/hyperlink" Target="https://provost.asu.edu/sites/default/files/page/1562/process-guide-promotion-tenure_040519.pdf" TargetMode="External"/><Relationship Id="rId82" Type="http://schemas.openxmlformats.org/officeDocument/2006/relationships/hyperlink" Target="https://academicpersonnel.asu.edu/personnel-proces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8D88-75BC-41E7-82D0-92DCDD89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12667</Words>
  <Characters>74868</Characters>
  <Application>Microsoft Office Word</Application>
  <DocSecurity>0</DocSecurity>
  <Lines>1361</Lines>
  <Paragraphs>435</Paragraphs>
  <ScaleCrop>false</ScaleCrop>
  <HeadingPairs>
    <vt:vector size="2" baseType="variant">
      <vt:variant>
        <vt:lpstr>Title</vt:lpstr>
      </vt:variant>
      <vt:variant>
        <vt:i4>1</vt:i4>
      </vt:variant>
    </vt:vector>
  </HeadingPairs>
  <TitlesOfParts>
    <vt:vector size="1" baseType="lpstr">
      <vt:lpstr>[Document titl]</vt:lpstr>
    </vt:vector>
  </TitlesOfParts>
  <Company/>
  <LinksUpToDate>false</LinksUpToDate>
  <CharactersWithSpaces>87100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dc:title>
  <dc:creator>Maria Tatto</dc:creator>
  <cp:lastModifiedBy>Kim Rowe</cp:lastModifiedBy>
  <cp:revision>4</cp:revision>
  <dcterms:created xsi:type="dcterms:W3CDTF">2024-08-14T15:34:00Z</dcterms:created>
  <dcterms:modified xsi:type="dcterms:W3CDTF">2024-08-14T15:49:00Z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2873b1fe54a4a1ee9161f7fedc9e226176be8dd61b4176d3113e5578635b9652</vt:lpwstr>
  </property>
</Properties>
</file>