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1BFA9" w14:textId="77777777" w:rsidR="009F6856" w:rsidRDefault="009F6856" w:rsidP="009F6856">
      <w:pPr>
        <w:jc w:val="center"/>
        <w:rPr>
          <w:rFonts w:cstheme="minorHAnsi"/>
          <w:b/>
          <w:color w:val="000004"/>
          <w:sz w:val="14"/>
          <w:szCs w:val="24"/>
        </w:rPr>
      </w:pPr>
      <w:r>
        <w:rPr>
          <w:rFonts w:cstheme="minorHAnsi"/>
          <w:b/>
          <w:color w:val="000004"/>
          <w:sz w:val="24"/>
          <w:szCs w:val="24"/>
        </w:rPr>
        <w:br/>
      </w:r>
    </w:p>
    <w:p w14:paraId="3702A5BE" w14:textId="77777777" w:rsidR="009F6856" w:rsidRPr="00290689" w:rsidRDefault="009F6856" w:rsidP="009F6856">
      <w:pPr>
        <w:rPr>
          <w:b/>
          <w:color w:val="000004"/>
          <w:sz w:val="24"/>
          <w:szCs w:val="24"/>
        </w:rPr>
      </w:pPr>
      <w:r w:rsidRPr="00290689">
        <w:rPr>
          <w:b/>
          <w:color w:val="000004"/>
          <w:sz w:val="24"/>
          <w:szCs w:val="24"/>
        </w:rPr>
        <w:tab/>
      </w:r>
      <w:r w:rsidRPr="00290689">
        <w:rPr>
          <w:b/>
          <w:color w:val="000004"/>
          <w:sz w:val="24"/>
          <w:szCs w:val="24"/>
        </w:rPr>
        <w:tab/>
      </w:r>
    </w:p>
    <w:tbl>
      <w:tblPr>
        <w:tblStyle w:val="TableGrid"/>
        <w:tblW w:w="0" w:type="auto"/>
        <w:tblLook w:val="04A0" w:firstRow="1" w:lastRow="0" w:firstColumn="1" w:lastColumn="0" w:noHBand="0" w:noVBand="1"/>
      </w:tblPr>
      <w:tblGrid>
        <w:gridCol w:w="1805"/>
        <w:gridCol w:w="7605"/>
      </w:tblGrid>
      <w:tr w:rsidR="009F6856" w:rsidRPr="00290689" w14:paraId="3D162509" w14:textId="77777777" w:rsidTr="00F80AB2">
        <w:trPr>
          <w:trHeight w:hRule="exact" w:val="720"/>
        </w:trPr>
        <w:tc>
          <w:tcPr>
            <w:tcW w:w="1818" w:type="dxa"/>
          </w:tcPr>
          <w:p w14:paraId="7B9D316D" w14:textId="77777777" w:rsidR="009F6856" w:rsidRPr="00290689" w:rsidRDefault="009F6856" w:rsidP="00F80AB2">
            <w:pPr>
              <w:rPr>
                <w:b/>
                <w:color w:val="000004"/>
                <w:sz w:val="24"/>
                <w:szCs w:val="24"/>
              </w:rPr>
            </w:pPr>
            <w:bookmarkStart w:id="0" w:name="_Hlk167115885"/>
            <w:r w:rsidRPr="00290689">
              <w:rPr>
                <w:b/>
                <w:color w:val="000004"/>
                <w:sz w:val="24"/>
                <w:szCs w:val="24"/>
              </w:rPr>
              <w:t>College</w:t>
            </w:r>
          </w:p>
          <w:p w14:paraId="587E26C5" w14:textId="77777777" w:rsidR="009F6856" w:rsidRPr="00290689" w:rsidRDefault="009F6856" w:rsidP="00F80AB2">
            <w:pPr>
              <w:rPr>
                <w:b/>
                <w:color w:val="000004"/>
                <w:sz w:val="24"/>
                <w:szCs w:val="24"/>
              </w:rPr>
            </w:pPr>
          </w:p>
        </w:tc>
        <w:tc>
          <w:tcPr>
            <w:tcW w:w="7758" w:type="dxa"/>
          </w:tcPr>
          <w:p w14:paraId="7AA23D49" w14:textId="77777777" w:rsidR="009F6856" w:rsidRPr="00290689" w:rsidRDefault="009F6856" w:rsidP="00F80AB2">
            <w:pPr>
              <w:rPr>
                <w:b/>
                <w:color w:val="000004"/>
                <w:sz w:val="24"/>
                <w:szCs w:val="24"/>
              </w:rPr>
            </w:pPr>
            <w:r>
              <w:rPr>
                <w:b/>
                <w:color w:val="000004"/>
                <w:sz w:val="24"/>
                <w:szCs w:val="24"/>
              </w:rPr>
              <w:t xml:space="preserve">New College of Interdisciplinary Arts and Science </w:t>
            </w:r>
          </w:p>
        </w:tc>
      </w:tr>
      <w:tr w:rsidR="009F6856" w:rsidRPr="00290689" w14:paraId="3ED066EF" w14:textId="77777777" w:rsidTr="00F80AB2">
        <w:trPr>
          <w:trHeight w:hRule="exact" w:val="720"/>
        </w:trPr>
        <w:tc>
          <w:tcPr>
            <w:tcW w:w="1818" w:type="dxa"/>
          </w:tcPr>
          <w:p w14:paraId="1597AC81" w14:textId="77777777" w:rsidR="009F6856" w:rsidRPr="00290689" w:rsidRDefault="009F6856" w:rsidP="00F80AB2">
            <w:pPr>
              <w:rPr>
                <w:b/>
                <w:color w:val="000004"/>
                <w:sz w:val="24"/>
                <w:szCs w:val="24"/>
              </w:rPr>
            </w:pPr>
            <w:r w:rsidRPr="00290689">
              <w:rPr>
                <w:b/>
                <w:color w:val="000004"/>
                <w:sz w:val="24"/>
                <w:szCs w:val="24"/>
              </w:rPr>
              <w:t>Unit</w:t>
            </w:r>
          </w:p>
          <w:p w14:paraId="76C1895B" w14:textId="77777777" w:rsidR="009F6856" w:rsidRPr="00290689" w:rsidRDefault="009F6856" w:rsidP="00F80AB2">
            <w:pPr>
              <w:rPr>
                <w:b/>
                <w:color w:val="000004"/>
                <w:sz w:val="24"/>
                <w:szCs w:val="24"/>
              </w:rPr>
            </w:pPr>
          </w:p>
        </w:tc>
        <w:tc>
          <w:tcPr>
            <w:tcW w:w="7758" w:type="dxa"/>
          </w:tcPr>
          <w:p w14:paraId="79BF669C" w14:textId="77777777" w:rsidR="009F6856" w:rsidRPr="00290689" w:rsidRDefault="009F6856" w:rsidP="00F80AB2">
            <w:pPr>
              <w:rPr>
                <w:b/>
                <w:color w:val="000004"/>
                <w:sz w:val="24"/>
                <w:szCs w:val="24"/>
              </w:rPr>
            </w:pPr>
            <w:r>
              <w:rPr>
                <w:b/>
                <w:color w:val="000004"/>
                <w:sz w:val="24"/>
                <w:szCs w:val="24"/>
              </w:rPr>
              <w:t>School of Social and Behavioral Sciences</w:t>
            </w:r>
          </w:p>
        </w:tc>
      </w:tr>
      <w:tr w:rsidR="009F6856" w:rsidRPr="00290689" w14:paraId="55CE16BC" w14:textId="77777777" w:rsidTr="00F80AB2">
        <w:trPr>
          <w:trHeight w:hRule="exact" w:val="720"/>
        </w:trPr>
        <w:tc>
          <w:tcPr>
            <w:tcW w:w="1818" w:type="dxa"/>
          </w:tcPr>
          <w:p w14:paraId="5C09A6D4" w14:textId="77777777" w:rsidR="009F6856" w:rsidRPr="00290689" w:rsidRDefault="009F6856" w:rsidP="00F80AB2">
            <w:pPr>
              <w:rPr>
                <w:b/>
                <w:color w:val="000004"/>
                <w:sz w:val="24"/>
                <w:szCs w:val="24"/>
              </w:rPr>
            </w:pPr>
            <w:r w:rsidRPr="00290689">
              <w:rPr>
                <w:b/>
                <w:color w:val="000004"/>
                <w:sz w:val="24"/>
                <w:szCs w:val="24"/>
              </w:rPr>
              <w:t>Document</w:t>
            </w:r>
          </w:p>
          <w:p w14:paraId="79520235" w14:textId="77777777" w:rsidR="009F6856" w:rsidRPr="00290689" w:rsidRDefault="009F6856" w:rsidP="00F80AB2">
            <w:pPr>
              <w:rPr>
                <w:b/>
                <w:color w:val="000004"/>
                <w:sz w:val="24"/>
                <w:szCs w:val="24"/>
              </w:rPr>
            </w:pPr>
          </w:p>
        </w:tc>
        <w:tc>
          <w:tcPr>
            <w:tcW w:w="7758" w:type="dxa"/>
          </w:tcPr>
          <w:p w14:paraId="1B40EDA6" w14:textId="77777777" w:rsidR="009F6856" w:rsidRPr="00BF740F" w:rsidRDefault="009F6856" w:rsidP="009F6856">
            <w:pPr>
              <w:spacing w:before="0" w:line="240" w:lineRule="auto"/>
              <w:ind w:left="0" w:right="0" w:firstLine="0"/>
              <w:rPr>
                <w:b/>
                <w:bCs/>
                <w:sz w:val="24"/>
                <w:szCs w:val="24"/>
              </w:rPr>
            </w:pPr>
            <w:r w:rsidRPr="00BF740F">
              <w:rPr>
                <w:b/>
                <w:bCs/>
                <w:sz w:val="24"/>
                <w:szCs w:val="24"/>
              </w:rPr>
              <w:t>Faculty Evaluation Policies, Guidelines, and Procedures</w:t>
            </w:r>
          </w:p>
          <w:p w14:paraId="5A2B9A5F" w14:textId="64333339" w:rsidR="009F6856" w:rsidRPr="00290689" w:rsidRDefault="009F6856" w:rsidP="00F80AB2">
            <w:pPr>
              <w:rPr>
                <w:b/>
                <w:color w:val="000004"/>
                <w:sz w:val="24"/>
                <w:szCs w:val="24"/>
              </w:rPr>
            </w:pPr>
          </w:p>
        </w:tc>
      </w:tr>
    </w:tbl>
    <w:p w14:paraId="5E4B1D89" w14:textId="77777777" w:rsidR="009F6856" w:rsidRPr="00290689" w:rsidRDefault="009F6856" w:rsidP="009F6856">
      <w:pPr>
        <w:spacing w:line="240" w:lineRule="auto"/>
        <w:rPr>
          <w:rFonts w:cstheme="minorHAnsi"/>
          <w:color w:val="000004"/>
          <w:sz w:val="24"/>
          <w:szCs w:val="24"/>
        </w:rPr>
      </w:pPr>
    </w:p>
    <w:p w14:paraId="02B8F88D" w14:textId="77777777" w:rsidR="009F6856" w:rsidRDefault="009F6856" w:rsidP="009F6856">
      <w:pPr>
        <w:spacing w:line="240" w:lineRule="auto"/>
        <w:rPr>
          <w:rFonts w:cstheme="minorHAnsi"/>
          <w:b/>
          <w:color w:val="000004"/>
          <w:sz w:val="24"/>
          <w:szCs w:val="24"/>
        </w:rPr>
      </w:pPr>
      <w:r w:rsidRPr="00290689">
        <w:rPr>
          <w:rFonts w:cstheme="minorHAnsi"/>
          <w:b/>
          <w:color w:val="000004"/>
          <w:sz w:val="24"/>
          <w:szCs w:val="24"/>
        </w:rPr>
        <w:t>Unit and college approval</w:t>
      </w:r>
    </w:p>
    <w:tbl>
      <w:tblPr>
        <w:tblStyle w:val="TableGrid"/>
        <w:tblW w:w="0" w:type="auto"/>
        <w:tblLook w:val="04A0" w:firstRow="1" w:lastRow="0" w:firstColumn="1" w:lastColumn="0" w:noHBand="0" w:noVBand="1"/>
      </w:tblPr>
      <w:tblGrid>
        <w:gridCol w:w="3482"/>
        <w:gridCol w:w="5928"/>
      </w:tblGrid>
      <w:tr w:rsidR="009F6856" w:rsidRPr="00290689" w14:paraId="6F1A0D5A" w14:textId="77777777" w:rsidTr="00F80AB2">
        <w:trPr>
          <w:trHeight w:hRule="exact" w:val="720"/>
        </w:trPr>
        <w:tc>
          <w:tcPr>
            <w:tcW w:w="3528" w:type="dxa"/>
          </w:tcPr>
          <w:p w14:paraId="0D23DC4B" w14:textId="77777777" w:rsidR="009F6856" w:rsidRPr="00290689" w:rsidRDefault="009F6856" w:rsidP="00F80AB2">
            <w:pPr>
              <w:rPr>
                <w:b/>
                <w:color w:val="000004"/>
                <w:sz w:val="24"/>
                <w:szCs w:val="24"/>
              </w:rPr>
            </w:pPr>
            <w:r>
              <w:rPr>
                <w:b/>
                <w:color w:val="000004"/>
                <w:sz w:val="24"/>
                <w:szCs w:val="24"/>
              </w:rPr>
              <w:t xml:space="preserve">Date of approval </w:t>
            </w:r>
            <w:r w:rsidRPr="00290689">
              <w:rPr>
                <w:b/>
                <w:color w:val="000004"/>
                <w:sz w:val="24"/>
                <w:szCs w:val="24"/>
              </w:rPr>
              <w:t>by the faculty</w:t>
            </w:r>
          </w:p>
        </w:tc>
        <w:tc>
          <w:tcPr>
            <w:tcW w:w="6030" w:type="dxa"/>
            <w:tcBorders>
              <w:left w:val="nil"/>
              <w:bottom w:val="single" w:sz="4" w:space="0" w:color="auto"/>
            </w:tcBorders>
          </w:tcPr>
          <w:p w14:paraId="33C6DD06" w14:textId="77777777" w:rsidR="009F6856" w:rsidRPr="00290689" w:rsidRDefault="009F6856" w:rsidP="00F80AB2">
            <w:pPr>
              <w:rPr>
                <w:b/>
                <w:color w:val="000004"/>
                <w:sz w:val="24"/>
                <w:szCs w:val="24"/>
              </w:rPr>
            </w:pPr>
            <w:r>
              <w:rPr>
                <w:b/>
                <w:color w:val="000004"/>
                <w:sz w:val="24"/>
                <w:szCs w:val="24"/>
              </w:rPr>
              <w:t>May 2, 2024</w:t>
            </w:r>
          </w:p>
        </w:tc>
      </w:tr>
      <w:tr w:rsidR="009F6856" w:rsidRPr="00290689" w14:paraId="00880F7B" w14:textId="77777777" w:rsidTr="00F80AB2">
        <w:trPr>
          <w:trHeight w:hRule="exact" w:val="720"/>
        </w:trPr>
        <w:tc>
          <w:tcPr>
            <w:tcW w:w="3528" w:type="dxa"/>
          </w:tcPr>
          <w:p w14:paraId="557F3303" w14:textId="77777777" w:rsidR="009F6856" w:rsidRPr="00290689" w:rsidRDefault="009F6856" w:rsidP="00F80AB2">
            <w:pPr>
              <w:rPr>
                <w:b/>
                <w:color w:val="000004"/>
                <w:sz w:val="24"/>
                <w:szCs w:val="24"/>
              </w:rPr>
            </w:pPr>
            <w:r>
              <w:rPr>
                <w:b/>
                <w:color w:val="000004"/>
                <w:sz w:val="24"/>
                <w:szCs w:val="24"/>
              </w:rPr>
              <w:t xml:space="preserve">Date of review </w:t>
            </w:r>
            <w:r w:rsidRPr="00290689">
              <w:rPr>
                <w:b/>
                <w:color w:val="000004"/>
                <w:sz w:val="24"/>
                <w:szCs w:val="24"/>
              </w:rPr>
              <w:t>by the dean</w:t>
            </w:r>
          </w:p>
        </w:tc>
        <w:tc>
          <w:tcPr>
            <w:tcW w:w="6030" w:type="dxa"/>
            <w:tcBorders>
              <w:left w:val="nil"/>
            </w:tcBorders>
          </w:tcPr>
          <w:p w14:paraId="0BD4DF52" w14:textId="0F4ACB97" w:rsidR="009F6856" w:rsidRPr="00290689" w:rsidRDefault="009F6856" w:rsidP="00F80AB2">
            <w:pPr>
              <w:rPr>
                <w:b/>
                <w:color w:val="000004"/>
                <w:sz w:val="24"/>
                <w:szCs w:val="24"/>
              </w:rPr>
            </w:pPr>
            <w:r>
              <w:rPr>
                <w:b/>
                <w:color w:val="000004"/>
                <w:sz w:val="24"/>
                <w:szCs w:val="24"/>
              </w:rPr>
              <w:t>May 14, 2024</w:t>
            </w:r>
          </w:p>
        </w:tc>
      </w:tr>
    </w:tbl>
    <w:p w14:paraId="7EC6881E" w14:textId="77777777" w:rsidR="009F6856" w:rsidRPr="00290689" w:rsidRDefault="009F6856" w:rsidP="009F6856">
      <w:pPr>
        <w:spacing w:line="240" w:lineRule="auto"/>
        <w:rPr>
          <w:rFonts w:cstheme="minorHAnsi"/>
          <w:color w:val="000004"/>
          <w:sz w:val="24"/>
          <w:szCs w:val="24"/>
        </w:rPr>
      </w:pPr>
    </w:p>
    <w:p w14:paraId="2160EE13" w14:textId="77777777" w:rsidR="009F6856" w:rsidRPr="00290689" w:rsidRDefault="009F6856" w:rsidP="009F6856">
      <w:pPr>
        <w:spacing w:line="240" w:lineRule="auto"/>
        <w:rPr>
          <w:b/>
          <w:color w:val="000004"/>
          <w:sz w:val="24"/>
          <w:szCs w:val="24"/>
        </w:rPr>
      </w:pPr>
    </w:p>
    <w:p w14:paraId="1E9A01A2" w14:textId="77777777" w:rsidR="009F6856" w:rsidRDefault="009F6856" w:rsidP="009F6856">
      <w:pPr>
        <w:spacing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7879"/>
        <w:gridCol w:w="1531"/>
      </w:tblGrid>
      <w:tr w:rsidR="009F6856" w:rsidRPr="00290689" w14:paraId="2202ED78" w14:textId="77777777" w:rsidTr="00F80AB2">
        <w:trPr>
          <w:trHeight w:val="720"/>
        </w:trPr>
        <w:tc>
          <w:tcPr>
            <w:tcW w:w="8028" w:type="dxa"/>
          </w:tcPr>
          <w:p w14:paraId="153D5635" w14:textId="77777777" w:rsidR="009F6856" w:rsidRPr="00290689" w:rsidRDefault="009F6856" w:rsidP="00F80AB2">
            <w:pPr>
              <w:rPr>
                <w:b/>
                <w:color w:val="000004"/>
                <w:sz w:val="24"/>
                <w:szCs w:val="24"/>
              </w:rPr>
            </w:pPr>
          </w:p>
        </w:tc>
        <w:tc>
          <w:tcPr>
            <w:tcW w:w="1548" w:type="dxa"/>
          </w:tcPr>
          <w:p w14:paraId="6D20E520" w14:textId="77777777" w:rsidR="009F6856" w:rsidRPr="00290689" w:rsidRDefault="009F6856" w:rsidP="00F80AB2">
            <w:pPr>
              <w:rPr>
                <w:b/>
                <w:color w:val="000004"/>
                <w:sz w:val="24"/>
                <w:szCs w:val="24"/>
              </w:rPr>
            </w:pPr>
          </w:p>
        </w:tc>
      </w:tr>
      <w:tr w:rsidR="009F6856" w:rsidRPr="00290689" w14:paraId="60EE65F4" w14:textId="77777777" w:rsidTr="00F80AB2">
        <w:trPr>
          <w:trHeight w:val="720"/>
        </w:trPr>
        <w:tc>
          <w:tcPr>
            <w:tcW w:w="8028" w:type="dxa"/>
          </w:tcPr>
          <w:p w14:paraId="655CDD59" w14:textId="77777777" w:rsidR="009F6856" w:rsidRPr="00290689" w:rsidRDefault="009F6856" w:rsidP="00F80AB2">
            <w:pPr>
              <w:rPr>
                <w:b/>
                <w:color w:val="000004"/>
                <w:sz w:val="24"/>
                <w:szCs w:val="24"/>
              </w:rPr>
            </w:pPr>
            <w:r w:rsidRPr="00290689">
              <w:rPr>
                <w:b/>
                <w:color w:val="000004"/>
                <w:sz w:val="24"/>
                <w:szCs w:val="24"/>
              </w:rPr>
              <w:t>Vice Provost for Academic Personnel</w:t>
            </w:r>
          </w:p>
        </w:tc>
        <w:tc>
          <w:tcPr>
            <w:tcW w:w="1548" w:type="dxa"/>
          </w:tcPr>
          <w:p w14:paraId="36A4877C" w14:textId="77777777" w:rsidR="009F6856" w:rsidRPr="00290689" w:rsidRDefault="009F6856" w:rsidP="00F80AB2">
            <w:pPr>
              <w:rPr>
                <w:b/>
                <w:color w:val="000004"/>
                <w:sz w:val="24"/>
                <w:szCs w:val="24"/>
              </w:rPr>
            </w:pPr>
            <w:r w:rsidRPr="00290689">
              <w:rPr>
                <w:b/>
                <w:color w:val="000004"/>
                <w:sz w:val="24"/>
                <w:szCs w:val="24"/>
              </w:rPr>
              <w:t>Date</w:t>
            </w:r>
          </w:p>
        </w:tc>
      </w:tr>
    </w:tbl>
    <w:p w14:paraId="34CA2D8A" w14:textId="77777777" w:rsidR="009F6856" w:rsidRPr="00336268" w:rsidRDefault="009F6856" w:rsidP="009F6856">
      <w:pPr>
        <w:spacing w:line="240" w:lineRule="auto"/>
        <w:rPr>
          <w:rFonts w:cstheme="minorHAnsi"/>
          <w:b/>
          <w:color w:val="000004"/>
        </w:rPr>
      </w:pPr>
    </w:p>
    <w:bookmarkEnd w:id="0"/>
    <w:p w14:paraId="4B41D030" w14:textId="77777777" w:rsidR="009F6856" w:rsidRPr="00336268" w:rsidRDefault="009F6856" w:rsidP="009F6856">
      <w:pPr>
        <w:spacing w:line="240" w:lineRule="auto"/>
        <w:rPr>
          <w:rFonts w:cstheme="minorHAnsi"/>
          <w:b/>
          <w:color w:val="000004"/>
        </w:rPr>
      </w:pPr>
    </w:p>
    <w:p w14:paraId="00000001" w14:textId="36DC9F19" w:rsidR="009F6856" w:rsidRDefault="009F6856">
      <w:pPr>
        <w:widowControl/>
        <w:pBdr>
          <w:top w:val="none" w:sz="0" w:space="0" w:color="auto"/>
          <w:left w:val="none" w:sz="0" w:space="0" w:color="auto"/>
          <w:bottom w:val="none" w:sz="0" w:space="0" w:color="auto"/>
          <w:right w:val="none" w:sz="0" w:space="0" w:color="auto"/>
          <w:between w:val="none" w:sz="0" w:space="0" w:color="auto"/>
        </w:pBdr>
        <w:spacing w:before="0" w:line="276" w:lineRule="auto"/>
        <w:ind w:left="0" w:right="0" w:firstLine="0"/>
      </w:pPr>
      <w:r>
        <w:br w:type="page"/>
      </w:r>
    </w:p>
    <w:p w14:paraId="7CFAAA34" w14:textId="77777777" w:rsidR="00260715" w:rsidRDefault="00260715" w:rsidP="00EB3BAD">
      <w:pPr>
        <w:sectPr w:rsidR="00260715" w:rsidSect="009F6856">
          <w:headerReference w:type="even" r:id="rId8"/>
          <w:headerReference w:type="default" r:id="rId9"/>
          <w:footerReference w:type="default" r:id="rId10"/>
          <w:headerReference w:type="first" r:id="rId11"/>
          <w:footerReference w:type="first" r:id="rId12"/>
          <w:pgSz w:w="12240" w:h="15840"/>
          <w:pgMar w:top="708" w:right="1387" w:bottom="1536" w:left="1433" w:header="0" w:footer="720" w:gutter="0"/>
          <w:pgNumType w:start="1"/>
          <w:cols w:space="720"/>
          <w:titlePg/>
          <w:docGrid w:linePitch="299"/>
        </w:sectPr>
      </w:pPr>
      <w:bookmarkStart w:id="2" w:name="_GoBack"/>
      <w:bookmarkEnd w:id="2"/>
    </w:p>
    <w:p w14:paraId="48D05DDE" w14:textId="0E62BD09" w:rsidR="006C736C" w:rsidRDefault="006C736C" w:rsidP="00EB3BAD"/>
    <w:p w14:paraId="7E2F7AD4" w14:textId="77777777" w:rsidR="007F1AB9" w:rsidRPr="00E57D28" w:rsidRDefault="007F1AB9" w:rsidP="00E57D28">
      <w:pPr>
        <w:spacing w:before="0" w:line="240" w:lineRule="auto"/>
        <w:ind w:left="0" w:right="0" w:firstLine="0"/>
        <w:jc w:val="center"/>
        <w:rPr>
          <w:b/>
          <w:bCs/>
          <w:sz w:val="28"/>
          <w:szCs w:val="28"/>
        </w:rPr>
      </w:pPr>
      <w:r w:rsidRPr="00E57D28">
        <w:rPr>
          <w:b/>
          <w:bCs/>
          <w:sz w:val="28"/>
          <w:szCs w:val="28"/>
        </w:rPr>
        <w:t>Faculty Evaluation Policies, Guidelines, and Procedures</w:t>
      </w:r>
    </w:p>
    <w:p w14:paraId="71FA69CE" w14:textId="77777777" w:rsidR="007F1AB9" w:rsidRPr="00E57D28" w:rsidRDefault="00721A85" w:rsidP="00E57D28">
      <w:pPr>
        <w:spacing w:before="0" w:line="240" w:lineRule="auto"/>
        <w:ind w:left="0" w:right="0" w:firstLine="0"/>
        <w:jc w:val="center"/>
        <w:rPr>
          <w:b/>
          <w:bCs/>
          <w:sz w:val="28"/>
          <w:szCs w:val="28"/>
        </w:rPr>
      </w:pPr>
      <w:r w:rsidRPr="00E57D28">
        <w:rPr>
          <w:b/>
          <w:bCs/>
          <w:sz w:val="28"/>
          <w:szCs w:val="28"/>
        </w:rPr>
        <w:t>School of Social &amp; Behavioral Sciences</w:t>
      </w:r>
    </w:p>
    <w:p w14:paraId="5AA0FFE8" w14:textId="77777777" w:rsidR="00EB3BAD" w:rsidRPr="00E57D28" w:rsidRDefault="00EB3BAD" w:rsidP="00E57D28">
      <w:pPr>
        <w:spacing w:before="0" w:line="240" w:lineRule="auto"/>
        <w:ind w:left="0" w:right="0" w:firstLine="0"/>
        <w:jc w:val="center"/>
        <w:rPr>
          <w:b/>
          <w:bCs/>
          <w:sz w:val="28"/>
          <w:szCs w:val="28"/>
        </w:rPr>
      </w:pPr>
    </w:p>
    <w:p w14:paraId="57093F8E" w14:textId="77777777" w:rsidR="00EB3BAD" w:rsidRPr="00E57D28" w:rsidRDefault="00721A85" w:rsidP="00E57D28">
      <w:pPr>
        <w:spacing w:before="0" w:line="240" w:lineRule="auto"/>
        <w:ind w:left="0" w:right="0" w:firstLine="0"/>
        <w:jc w:val="center"/>
        <w:rPr>
          <w:b/>
          <w:bCs/>
          <w:sz w:val="28"/>
          <w:szCs w:val="28"/>
        </w:rPr>
      </w:pPr>
      <w:r w:rsidRPr="00E57D28">
        <w:rPr>
          <w:b/>
          <w:bCs/>
          <w:sz w:val="28"/>
          <w:szCs w:val="28"/>
        </w:rPr>
        <w:t xml:space="preserve">New College of Interdisciplinary Arts and Sciences </w:t>
      </w:r>
      <w:r w:rsidR="007F1AB9" w:rsidRPr="00E57D28">
        <w:rPr>
          <w:b/>
          <w:bCs/>
          <w:sz w:val="28"/>
          <w:szCs w:val="28"/>
        </w:rPr>
        <w:br/>
      </w:r>
    </w:p>
    <w:p w14:paraId="099F2C05" w14:textId="77777777" w:rsidR="00EB3BAD" w:rsidRPr="00E57D28" w:rsidRDefault="00EB3BAD" w:rsidP="00E57D28">
      <w:pPr>
        <w:spacing w:before="0" w:line="240" w:lineRule="auto"/>
        <w:ind w:left="0" w:right="0" w:firstLine="0"/>
        <w:jc w:val="center"/>
        <w:rPr>
          <w:b/>
          <w:bCs/>
          <w:sz w:val="28"/>
          <w:szCs w:val="28"/>
        </w:rPr>
      </w:pPr>
      <w:r w:rsidRPr="00E57D28">
        <w:rPr>
          <w:b/>
          <w:bCs/>
          <w:sz w:val="28"/>
          <w:szCs w:val="28"/>
        </w:rPr>
        <w:t>Arizona State University</w:t>
      </w:r>
    </w:p>
    <w:p w14:paraId="00000006" w14:textId="24BA76F1" w:rsidR="006C736C" w:rsidRPr="00E57D28" w:rsidRDefault="00721A85" w:rsidP="00E57D28">
      <w:pPr>
        <w:spacing w:before="0" w:line="240" w:lineRule="auto"/>
        <w:ind w:left="0" w:right="0" w:firstLine="0"/>
        <w:jc w:val="center"/>
        <w:rPr>
          <w:b/>
          <w:bCs/>
          <w:sz w:val="28"/>
          <w:szCs w:val="28"/>
        </w:rPr>
      </w:pPr>
      <w:r w:rsidRPr="00E57D28">
        <w:rPr>
          <w:b/>
          <w:bCs/>
          <w:sz w:val="28"/>
          <w:szCs w:val="28"/>
        </w:rPr>
        <w:t xml:space="preserve">Approved: </w:t>
      </w:r>
      <w:r w:rsidR="001966C5" w:rsidRPr="00E57D28">
        <w:rPr>
          <w:b/>
          <w:bCs/>
          <w:sz w:val="28"/>
          <w:szCs w:val="28"/>
        </w:rPr>
        <w:t>03</w:t>
      </w:r>
      <w:r w:rsidR="007F1AB9" w:rsidRPr="00E57D28">
        <w:rPr>
          <w:b/>
          <w:bCs/>
          <w:sz w:val="28"/>
          <w:szCs w:val="28"/>
        </w:rPr>
        <w:t>-</w:t>
      </w:r>
      <w:r w:rsidR="001966C5" w:rsidRPr="00E57D28">
        <w:rPr>
          <w:b/>
          <w:bCs/>
          <w:sz w:val="28"/>
          <w:szCs w:val="28"/>
        </w:rPr>
        <w:t>31</w:t>
      </w:r>
      <w:r w:rsidR="007F1AB9" w:rsidRPr="00E57D28">
        <w:rPr>
          <w:b/>
          <w:bCs/>
          <w:sz w:val="28"/>
          <w:szCs w:val="28"/>
        </w:rPr>
        <w:t>-</w:t>
      </w:r>
      <w:r w:rsidR="004A2D54" w:rsidRPr="00E57D28">
        <w:rPr>
          <w:b/>
          <w:bCs/>
          <w:sz w:val="28"/>
          <w:szCs w:val="28"/>
        </w:rPr>
        <w:t>20</w:t>
      </w:r>
      <w:r w:rsidR="001966C5" w:rsidRPr="00E57D28">
        <w:rPr>
          <w:b/>
          <w:bCs/>
          <w:sz w:val="28"/>
          <w:szCs w:val="28"/>
        </w:rPr>
        <w:t>13</w:t>
      </w:r>
    </w:p>
    <w:p w14:paraId="00000007" w14:textId="34D9BEB8" w:rsidR="006C736C" w:rsidRPr="00E57D28" w:rsidRDefault="00721A85" w:rsidP="00E57D28">
      <w:pPr>
        <w:spacing w:before="0" w:line="240" w:lineRule="auto"/>
        <w:ind w:left="0" w:right="0" w:firstLine="0"/>
        <w:jc w:val="center"/>
        <w:rPr>
          <w:b/>
          <w:bCs/>
          <w:sz w:val="28"/>
          <w:szCs w:val="28"/>
        </w:rPr>
      </w:pPr>
      <w:r w:rsidRPr="00E57D28">
        <w:rPr>
          <w:b/>
          <w:bCs/>
          <w:sz w:val="28"/>
          <w:szCs w:val="28"/>
        </w:rPr>
        <w:t xml:space="preserve">Provost Approved: </w:t>
      </w:r>
      <w:r w:rsidR="007F1AB9" w:rsidRPr="00E57D28">
        <w:rPr>
          <w:b/>
          <w:bCs/>
          <w:sz w:val="28"/>
          <w:szCs w:val="28"/>
        </w:rPr>
        <w:t>MM-DD-YYYY</w:t>
      </w:r>
    </w:p>
    <w:p w14:paraId="5F711A10" w14:textId="77777777" w:rsidR="007F1AB9" w:rsidRDefault="007F1AB9" w:rsidP="00EB3BAD"/>
    <w:sdt>
      <w:sdtPr>
        <w:rPr>
          <w:rFonts w:ascii="Calibri" w:eastAsia="Calibri" w:hAnsi="Calibri" w:cs="Calibri"/>
          <w:b w:val="0"/>
          <w:bCs w:val="0"/>
          <w:color w:val="000000"/>
          <w:sz w:val="22"/>
          <w:szCs w:val="22"/>
          <w:lang w:bidi="he-IL"/>
        </w:rPr>
        <w:id w:val="-787041377"/>
        <w:docPartObj>
          <w:docPartGallery w:val="Table of Contents"/>
          <w:docPartUnique/>
        </w:docPartObj>
      </w:sdtPr>
      <w:sdtEndPr>
        <w:rPr>
          <w:noProof/>
        </w:rPr>
      </w:sdtEndPr>
      <w:sdtContent>
        <w:p w14:paraId="234BC48B" w14:textId="595C3C1E" w:rsidR="002B55ED" w:rsidRDefault="002B55ED">
          <w:pPr>
            <w:pStyle w:val="TOCHeading"/>
          </w:pPr>
          <w:r>
            <w:t>Table of Contents</w:t>
          </w:r>
        </w:p>
        <w:p w14:paraId="433352F1" w14:textId="1046AF60" w:rsidR="002B55ED" w:rsidRDefault="002B55ED">
          <w:pPr>
            <w:pStyle w:val="TOC1"/>
            <w:tabs>
              <w:tab w:val="right" w:leader="dot" w:pos="9410"/>
            </w:tabs>
            <w:rPr>
              <w:rFonts w:eastAsiaTheme="minorEastAsia" w:cstheme="minorBidi"/>
              <w:b w:val="0"/>
              <w:bCs w:val="0"/>
              <w:i w:val="0"/>
              <w:iCs w:val="0"/>
              <w:noProof/>
              <w:color w:val="auto"/>
              <w:kern w:val="2"/>
              <w14:ligatures w14:val="standardContextual"/>
            </w:rPr>
          </w:pPr>
          <w:r>
            <w:rPr>
              <w:b w:val="0"/>
              <w:bCs w:val="0"/>
            </w:rPr>
            <w:fldChar w:fldCharType="begin"/>
          </w:r>
          <w:r>
            <w:instrText xml:space="preserve"> TOC \o "1-3" \h \z \u </w:instrText>
          </w:r>
          <w:r>
            <w:rPr>
              <w:b w:val="0"/>
              <w:bCs w:val="0"/>
            </w:rPr>
            <w:fldChar w:fldCharType="separate"/>
          </w:r>
          <w:hyperlink w:anchor="_Toc165706700" w:history="1">
            <w:r w:rsidRPr="00CC6D11">
              <w:rPr>
                <w:rStyle w:val="Hyperlink"/>
                <w:noProof/>
              </w:rPr>
              <w:t>I. Probationary, Promotion, and Tenure Reviews</w:t>
            </w:r>
            <w:r>
              <w:rPr>
                <w:noProof/>
                <w:webHidden/>
              </w:rPr>
              <w:tab/>
            </w:r>
            <w:r>
              <w:rPr>
                <w:noProof/>
                <w:webHidden/>
              </w:rPr>
              <w:fldChar w:fldCharType="begin"/>
            </w:r>
            <w:r>
              <w:rPr>
                <w:noProof/>
                <w:webHidden/>
              </w:rPr>
              <w:instrText xml:space="preserve"> PAGEREF _Toc165706700 \h </w:instrText>
            </w:r>
            <w:r>
              <w:rPr>
                <w:noProof/>
                <w:webHidden/>
              </w:rPr>
            </w:r>
            <w:r>
              <w:rPr>
                <w:noProof/>
                <w:webHidden/>
              </w:rPr>
              <w:fldChar w:fldCharType="separate"/>
            </w:r>
            <w:r w:rsidR="00260715">
              <w:rPr>
                <w:noProof/>
                <w:webHidden/>
              </w:rPr>
              <w:t>2</w:t>
            </w:r>
            <w:r>
              <w:rPr>
                <w:noProof/>
                <w:webHidden/>
              </w:rPr>
              <w:fldChar w:fldCharType="end"/>
            </w:r>
          </w:hyperlink>
        </w:p>
        <w:p w14:paraId="2301C118" w14:textId="044BCC51" w:rsidR="002B55ED" w:rsidRDefault="00721A85">
          <w:pPr>
            <w:pStyle w:val="TOC2"/>
            <w:tabs>
              <w:tab w:val="right" w:leader="dot" w:pos="9410"/>
            </w:tabs>
            <w:rPr>
              <w:rFonts w:eastAsiaTheme="minorEastAsia" w:cstheme="minorBidi"/>
              <w:b w:val="0"/>
              <w:bCs w:val="0"/>
              <w:noProof/>
              <w:color w:val="auto"/>
              <w:kern w:val="2"/>
              <w:sz w:val="24"/>
              <w:szCs w:val="24"/>
              <w14:ligatures w14:val="standardContextual"/>
            </w:rPr>
          </w:pPr>
          <w:hyperlink w:anchor="_Toc165706701" w:history="1">
            <w:r w:rsidR="002B55ED" w:rsidRPr="00CC6D11">
              <w:rPr>
                <w:rStyle w:val="Hyperlink"/>
                <w:noProof/>
              </w:rPr>
              <w:t>A. Introduction</w:t>
            </w:r>
            <w:r w:rsidR="002B55ED">
              <w:rPr>
                <w:noProof/>
                <w:webHidden/>
              </w:rPr>
              <w:tab/>
            </w:r>
            <w:r w:rsidR="002B55ED">
              <w:rPr>
                <w:noProof/>
                <w:webHidden/>
              </w:rPr>
              <w:fldChar w:fldCharType="begin"/>
            </w:r>
            <w:r w:rsidR="002B55ED">
              <w:rPr>
                <w:noProof/>
                <w:webHidden/>
              </w:rPr>
              <w:instrText xml:space="preserve"> PAGEREF _Toc165706701 \h </w:instrText>
            </w:r>
            <w:r w:rsidR="002B55ED">
              <w:rPr>
                <w:noProof/>
                <w:webHidden/>
              </w:rPr>
            </w:r>
            <w:r w:rsidR="002B55ED">
              <w:rPr>
                <w:noProof/>
                <w:webHidden/>
              </w:rPr>
              <w:fldChar w:fldCharType="separate"/>
            </w:r>
            <w:r w:rsidR="00260715">
              <w:rPr>
                <w:noProof/>
                <w:webHidden/>
              </w:rPr>
              <w:t>2</w:t>
            </w:r>
            <w:r w:rsidR="002B55ED">
              <w:rPr>
                <w:noProof/>
                <w:webHidden/>
              </w:rPr>
              <w:fldChar w:fldCharType="end"/>
            </w:r>
          </w:hyperlink>
        </w:p>
        <w:p w14:paraId="15596B85" w14:textId="297D8E97" w:rsidR="002B55ED" w:rsidRDefault="00721A85">
          <w:pPr>
            <w:pStyle w:val="TOC2"/>
            <w:tabs>
              <w:tab w:val="right" w:leader="dot" w:pos="9410"/>
            </w:tabs>
            <w:rPr>
              <w:rFonts w:eastAsiaTheme="minorEastAsia" w:cstheme="minorBidi"/>
              <w:b w:val="0"/>
              <w:bCs w:val="0"/>
              <w:noProof/>
              <w:color w:val="auto"/>
              <w:kern w:val="2"/>
              <w:sz w:val="24"/>
              <w:szCs w:val="24"/>
              <w14:ligatures w14:val="standardContextual"/>
            </w:rPr>
          </w:pPr>
          <w:hyperlink w:anchor="_Toc165706702" w:history="1">
            <w:r w:rsidR="002B55ED" w:rsidRPr="00CC6D11">
              <w:rPr>
                <w:rStyle w:val="Hyperlink"/>
                <w:noProof/>
              </w:rPr>
              <w:t>B. Goals and Criteria for the Probationary Review</w:t>
            </w:r>
            <w:r w:rsidR="002B55ED">
              <w:rPr>
                <w:noProof/>
                <w:webHidden/>
              </w:rPr>
              <w:tab/>
            </w:r>
            <w:r w:rsidR="002B55ED">
              <w:rPr>
                <w:noProof/>
                <w:webHidden/>
              </w:rPr>
              <w:fldChar w:fldCharType="begin"/>
            </w:r>
            <w:r w:rsidR="002B55ED">
              <w:rPr>
                <w:noProof/>
                <w:webHidden/>
              </w:rPr>
              <w:instrText xml:space="preserve"> PAGEREF _Toc165706702 \h </w:instrText>
            </w:r>
            <w:r w:rsidR="002B55ED">
              <w:rPr>
                <w:noProof/>
                <w:webHidden/>
              </w:rPr>
            </w:r>
            <w:r w:rsidR="002B55ED">
              <w:rPr>
                <w:noProof/>
                <w:webHidden/>
              </w:rPr>
              <w:fldChar w:fldCharType="separate"/>
            </w:r>
            <w:r w:rsidR="00260715">
              <w:rPr>
                <w:noProof/>
                <w:webHidden/>
              </w:rPr>
              <w:t>2</w:t>
            </w:r>
            <w:r w:rsidR="002B55ED">
              <w:rPr>
                <w:noProof/>
                <w:webHidden/>
              </w:rPr>
              <w:fldChar w:fldCharType="end"/>
            </w:r>
          </w:hyperlink>
        </w:p>
        <w:p w14:paraId="227E90D4" w14:textId="6E69BE2F" w:rsidR="002B55ED" w:rsidRDefault="00721A85">
          <w:pPr>
            <w:pStyle w:val="TOC2"/>
            <w:tabs>
              <w:tab w:val="right" w:leader="dot" w:pos="9410"/>
            </w:tabs>
            <w:rPr>
              <w:rFonts w:eastAsiaTheme="minorEastAsia" w:cstheme="minorBidi"/>
              <w:b w:val="0"/>
              <w:bCs w:val="0"/>
              <w:noProof/>
              <w:color w:val="auto"/>
              <w:kern w:val="2"/>
              <w:sz w:val="24"/>
              <w:szCs w:val="24"/>
              <w14:ligatures w14:val="standardContextual"/>
            </w:rPr>
          </w:pPr>
          <w:hyperlink w:anchor="_Toc165706703" w:history="1">
            <w:r w:rsidR="002B55ED" w:rsidRPr="00CC6D11">
              <w:rPr>
                <w:rStyle w:val="Hyperlink"/>
                <w:noProof/>
              </w:rPr>
              <w:t>C. Definitions of Excellence for the Purposes of Promotion to Associate Professor with Tenure</w:t>
            </w:r>
            <w:r w:rsidR="002B55ED">
              <w:rPr>
                <w:noProof/>
                <w:webHidden/>
              </w:rPr>
              <w:tab/>
            </w:r>
            <w:r w:rsidR="002B55ED">
              <w:rPr>
                <w:noProof/>
                <w:webHidden/>
              </w:rPr>
              <w:fldChar w:fldCharType="begin"/>
            </w:r>
            <w:r w:rsidR="002B55ED">
              <w:rPr>
                <w:noProof/>
                <w:webHidden/>
              </w:rPr>
              <w:instrText xml:space="preserve"> PAGEREF _Toc165706703 \h </w:instrText>
            </w:r>
            <w:r w:rsidR="002B55ED">
              <w:rPr>
                <w:noProof/>
                <w:webHidden/>
              </w:rPr>
            </w:r>
            <w:r w:rsidR="002B55ED">
              <w:rPr>
                <w:noProof/>
                <w:webHidden/>
              </w:rPr>
              <w:fldChar w:fldCharType="separate"/>
            </w:r>
            <w:r w:rsidR="00260715">
              <w:rPr>
                <w:noProof/>
                <w:webHidden/>
              </w:rPr>
              <w:t>2</w:t>
            </w:r>
            <w:r w:rsidR="002B55ED">
              <w:rPr>
                <w:noProof/>
                <w:webHidden/>
              </w:rPr>
              <w:fldChar w:fldCharType="end"/>
            </w:r>
          </w:hyperlink>
        </w:p>
        <w:p w14:paraId="6C86E1BD" w14:textId="6DC6B420" w:rsidR="002B55ED" w:rsidRDefault="00721A85">
          <w:pPr>
            <w:pStyle w:val="TOC2"/>
            <w:tabs>
              <w:tab w:val="right" w:leader="dot" w:pos="9410"/>
            </w:tabs>
            <w:rPr>
              <w:rFonts w:eastAsiaTheme="minorEastAsia" w:cstheme="minorBidi"/>
              <w:b w:val="0"/>
              <w:bCs w:val="0"/>
              <w:noProof/>
              <w:color w:val="auto"/>
              <w:kern w:val="2"/>
              <w:sz w:val="24"/>
              <w:szCs w:val="24"/>
              <w14:ligatures w14:val="standardContextual"/>
            </w:rPr>
          </w:pPr>
          <w:hyperlink w:anchor="_Toc165706704" w:history="1">
            <w:r w:rsidR="002B55ED" w:rsidRPr="00CC6D11">
              <w:rPr>
                <w:rStyle w:val="Hyperlink"/>
                <w:noProof/>
              </w:rPr>
              <w:t>D. Definitions of Excellence for Promotion to Full Professor</w:t>
            </w:r>
            <w:r w:rsidR="002B55ED">
              <w:rPr>
                <w:noProof/>
                <w:webHidden/>
              </w:rPr>
              <w:tab/>
            </w:r>
            <w:r w:rsidR="002B55ED">
              <w:rPr>
                <w:noProof/>
                <w:webHidden/>
              </w:rPr>
              <w:fldChar w:fldCharType="begin"/>
            </w:r>
            <w:r w:rsidR="002B55ED">
              <w:rPr>
                <w:noProof/>
                <w:webHidden/>
              </w:rPr>
              <w:instrText xml:space="preserve"> PAGEREF _Toc165706704 \h </w:instrText>
            </w:r>
            <w:r w:rsidR="002B55ED">
              <w:rPr>
                <w:noProof/>
                <w:webHidden/>
              </w:rPr>
            </w:r>
            <w:r w:rsidR="002B55ED">
              <w:rPr>
                <w:noProof/>
                <w:webHidden/>
              </w:rPr>
              <w:fldChar w:fldCharType="separate"/>
            </w:r>
            <w:r w:rsidR="00260715">
              <w:rPr>
                <w:noProof/>
                <w:webHidden/>
              </w:rPr>
              <w:t>5</w:t>
            </w:r>
            <w:r w:rsidR="002B55ED">
              <w:rPr>
                <w:noProof/>
                <w:webHidden/>
              </w:rPr>
              <w:fldChar w:fldCharType="end"/>
            </w:r>
          </w:hyperlink>
        </w:p>
        <w:p w14:paraId="0D8F0FDE" w14:textId="4367D874" w:rsidR="002B55ED" w:rsidRDefault="00721A85">
          <w:pPr>
            <w:pStyle w:val="TOC1"/>
            <w:tabs>
              <w:tab w:val="right" w:leader="dot" w:pos="9410"/>
            </w:tabs>
            <w:rPr>
              <w:rFonts w:eastAsiaTheme="minorEastAsia" w:cstheme="minorBidi"/>
              <w:b w:val="0"/>
              <w:bCs w:val="0"/>
              <w:i w:val="0"/>
              <w:iCs w:val="0"/>
              <w:noProof/>
              <w:color w:val="auto"/>
              <w:kern w:val="2"/>
              <w14:ligatures w14:val="standardContextual"/>
            </w:rPr>
          </w:pPr>
          <w:hyperlink w:anchor="_Toc165706705" w:history="1">
            <w:r w:rsidR="002B55ED" w:rsidRPr="00CC6D11">
              <w:rPr>
                <w:rStyle w:val="Hyperlink"/>
                <w:noProof/>
              </w:rPr>
              <w:t>II. Annual Reviews</w:t>
            </w:r>
            <w:r w:rsidR="002B55ED">
              <w:rPr>
                <w:noProof/>
                <w:webHidden/>
              </w:rPr>
              <w:tab/>
            </w:r>
            <w:r w:rsidR="002B55ED">
              <w:rPr>
                <w:noProof/>
                <w:webHidden/>
              </w:rPr>
              <w:fldChar w:fldCharType="begin"/>
            </w:r>
            <w:r w:rsidR="002B55ED">
              <w:rPr>
                <w:noProof/>
                <w:webHidden/>
              </w:rPr>
              <w:instrText xml:space="preserve"> PAGEREF _Toc165706705 \h </w:instrText>
            </w:r>
            <w:r w:rsidR="002B55ED">
              <w:rPr>
                <w:noProof/>
                <w:webHidden/>
              </w:rPr>
            </w:r>
            <w:r w:rsidR="002B55ED">
              <w:rPr>
                <w:noProof/>
                <w:webHidden/>
              </w:rPr>
              <w:fldChar w:fldCharType="separate"/>
            </w:r>
            <w:r w:rsidR="00260715">
              <w:rPr>
                <w:noProof/>
                <w:webHidden/>
              </w:rPr>
              <w:t>5</w:t>
            </w:r>
            <w:r w:rsidR="002B55ED">
              <w:rPr>
                <w:noProof/>
                <w:webHidden/>
              </w:rPr>
              <w:fldChar w:fldCharType="end"/>
            </w:r>
          </w:hyperlink>
        </w:p>
        <w:p w14:paraId="44606308" w14:textId="2E05177B" w:rsidR="002B55ED" w:rsidRDefault="00721A85">
          <w:pPr>
            <w:pStyle w:val="TOC2"/>
            <w:tabs>
              <w:tab w:val="right" w:leader="dot" w:pos="9410"/>
            </w:tabs>
            <w:rPr>
              <w:rFonts w:eastAsiaTheme="minorEastAsia" w:cstheme="minorBidi"/>
              <w:b w:val="0"/>
              <w:bCs w:val="0"/>
              <w:noProof/>
              <w:color w:val="auto"/>
              <w:kern w:val="2"/>
              <w:sz w:val="24"/>
              <w:szCs w:val="24"/>
              <w14:ligatures w14:val="standardContextual"/>
            </w:rPr>
          </w:pPr>
          <w:hyperlink w:anchor="_Toc165706706" w:history="1">
            <w:r w:rsidR="002B55ED" w:rsidRPr="00CC6D11">
              <w:rPr>
                <w:rStyle w:val="Hyperlink"/>
                <w:noProof/>
              </w:rPr>
              <w:t>A. Levels of performance</w:t>
            </w:r>
            <w:r w:rsidR="002B55ED">
              <w:rPr>
                <w:noProof/>
                <w:webHidden/>
              </w:rPr>
              <w:tab/>
            </w:r>
            <w:r w:rsidR="002B55ED">
              <w:rPr>
                <w:noProof/>
                <w:webHidden/>
              </w:rPr>
              <w:fldChar w:fldCharType="begin"/>
            </w:r>
            <w:r w:rsidR="002B55ED">
              <w:rPr>
                <w:noProof/>
                <w:webHidden/>
              </w:rPr>
              <w:instrText xml:space="preserve"> PAGEREF _Toc165706706 \h </w:instrText>
            </w:r>
            <w:r w:rsidR="002B55ED">
              <w:rPr>
                <w:noProof/>
                <w:webHidden/>
              </w:rPr>
            </w:r>
            <w:r w:rsidR="002B55ED">
              <w:rPr>
                <w:noProof/>
                <w:webHidden/>
              </w:rPr>
              <w:fldChar w:fldCharType="separate"/>
            </w:r>
            <w:r w:rsidR="00260715">
              <w:rPr>
                <w:noProof/>
                <w:webHidden/>
              </w:rPr>
              <w:t>6</w:t>
            </w:r>
            <w:r w:rsidR="002B55ED">
              <w:rPr>
                <w:noProof/>
                <w:webHidden/>
              </w:rPr>
              <w:fldChar w:fldCharType="end"/>
            </w:r>
          </w:hyperlink>
        </w:p>
        <w:p w14:paraId="40C40A44" w14:textId="26AF79CA" w:rsidR="002B55ED" w:rsidRDefault="00721A85">
          <w:pPr>
            <w:pStyle w:val="TOC2"/>
            <w:tabs>
              <w:tab w:val="right" w:leader="dot" w:pos="9410"/>
            </w:tabs>
            <w:rPr>
              <w:rFonts w:eastAsiaTheme="minorEastAsia" w:cstheme="minorBidi"/>
              <w:b w:val="0"/>
              <w:bCs w:val="0"/>
              <w:noProof/>
              <w:color w:val="auto"/>
              <w:kern w:val="2"/>
              <w:sz w:val="24"/>
              <w:szCs w:val="24"/>
              <w14:ligatures w14:val="standardContextual"/>
            </w:rPr>
          </w:pPr>
          <w:hyperlink w:anchor="_Toc165706707" w:history="1">
            <w:r w:rsidR="002B55ED" w:rsidRPr="00CC6D11">
              <w:rPr>
                <w:rStyle w:val="Hyperlink"/>
                <w:noProof/>
              </w:rPr>
              <w:t>B. Qualifying Factors in Performance Reviews</w:t>
            </w:r>
            <w:r w:rsidR="002B55ED">
              <w:rPr>
                <w:noProof/>
                <w:webHidden/>
              </w:rPr>
              <w:tab/>
            </w:r>
            <w:r w:rsidR="002B55ED">
              <w:rPr>
                <w:noProof/>
                <w:webHidden/>
              </w:rPr>
              <w:fldChar w:fldCharType="begin"/>
            </w:r>
            <w:r w:rsidR="002B55ED">
              <w:rPr>
                <w:noProof/>
                <w:webHidden/>
              </w:rPr>
              <w:instrText xml:space="preserve"> PAGEREF _Toc165706707 \h </w:instrText>
            </w:r>
            <w:r w:rsidR="002B55ED">
              <w:rPr>
                <w:noProof/>
                <w:webHidden/>
              </w:rPr>
            </w:r>
            <w:r w:rsidR="002B55ED">
              <w:rPr>
                <w:noProof/>
                <w:webHidden/>
              </w:rPr>
              <w:fldChar w:fldCharType="separate"/>
            </w:r>
            <w:r w:rsidR="00260715">
              <w:rPr>
                <w:noProof/>
                <w:webHidden/>
              </w:rPr>
              <w:t>7</w:t>
            </w:r>
            <w:r w:rsidR="002B55ED">
              <w:rPr>
                <w:noProof/>
                <w:webHidden/>
              </w:rPr>
              <w:fldChar w:fldCharType="end"/>
            </w:r>
          </w:hyperlink>
        </w:p>
        <w:p w14:paraId="3BCA9CCF" w14:textId="0F38F123" w:rsidR="002B55ED" w:rsidRDefault="00721A85">
          <w:pPr>
            <w:pStyle w:val="TOC3"/>
            <w:tabs>
              <w:tab w:val="right" w:leader="dot" w:pos="9410"/>
            </w:tabs>
            <w:rPr>
              <w:rFonts w:eastAsiaTheme="minorEastAsia" w:cstheme="minorBidi"/>
              <w:noProof/>
              <w:color w:val="auto"/>
              <w:kern w:val="2"/>
              <w:sz w:val="24"/>
              <w:szCs w:val="24"/>
              <w14:ligatures w14:val="standardContextual"/>
            </w:rPr>
          </w:pPr>
          <w:hyperlink w:anchor="_Toc165706708" w:history="1">
            <w:r w:rsidR="002B55ED" w:rsidRPr="00CC6D11">
              <w:rPr>
                <w:rStyle w:val="Hyperlink"/>
                <w:noProof/>
              </w:rPr>
              <w:t>Level 1: Unsatisfactory Performance</w:t>
            </w:r>
            <w:r w:rsidR="002B55ED">
              <w:rPr>
                <w:noProof/>
                <w:webHidden/>
              </w:rPr>
              <w:tab/>
            </w:r>
            <w:r w:rsidR="002B55ED">
              <w:rPr>
                <w:noProof/>
                <w:webHidden/>
              </w:rPr>
              <w:fldChar w:fldCharType="begin"/>
            </w:r>
            <w:r w:rsidR="002B55ED">
              <w:rPr>
                <w:noProof/>
                <w:webHidden/>
              </w:rPr>
              <w:instrText xml:space="preserve"> PAGEREF _Toc165706708 \h </w:instrText>
            </w:r>
            <w:r w:rsidR="002B55ED">
              <w:rPr>
                <w:noProof/>
                <w:webHidden/>
              </w:rPr>
            </w:r>
            <w:r w:rsidR="002B55ED">
              <w:rPr>
                <w:noProof/>
                <w:webHidden/>
              </w:rPr>
              <w:fldChar w:fldCharType="separate"/>
            </w:r>
            <w:r w:rsidR="00260715">
              <w:rPr>
                <w:noProof/>
                <w:webHidden/>
              </w:rPr>
              <w:t>8</w:t>
            </w:r>
            <w:r w:rsidR="002B55ED">
              <w:rPr>
                <w:noProof/>
                <w:webHidden/>
              </w:rPr>
              <w:fldChar w:fldCharType="end"/>
            </w:r>
          </w:hyperlink>
        </w:p>
        <w:p w14:paraId="66EE7D53" w14:textId="69F30C45" w:rsidR="002B55ED" w:rsidRDefault="00721A85">
          <w:pPr>
            <w:pStyle w:val="TOC3"/>
            <w:tabs>
              <w:tab w:val="right" w:leader="dot" w:pos="9410"/>
            </w:tabs>
            <w:rPr>
              <w:rFonts w:eastAsiaTheme="minorEastAsia" w:cstheme="minorBidi"/>
              <w:noProof/>
              <w:color w:val="auto"/>
              <w:kern w:val="2"/>
              <w:sz w:val="24"/>
              <w:szCs w:val="24"/>
              <w14:ligatures w14:val="standardContextual"/>
            </w:rPr>
          </w:pPr>
          <w:hyperlink w:anchor="_Toc165706709" w:history="1">
            <w:r w:rsidR="002B55ED" w:rsidRPr="00CC6D11">
              <w:rPr>
                <w:rStyle w:val="Hyperlink"/>
                <w:noProof/>
              </w:rPr>
              <w:t>Level 2: Partially Meets Expectations</w:t>
            </w:r>
            <w:r w:rsidR="002B55ED">
              <w:rPr>
                <w:noProof/>
                <w:webHidden/>
              </w:rPr>
              <w:tab/>
            </w:r>
            <w:r w:rsidR="002B55ED">
              <w:rPr>
                <w:noProof/>
                <w:webHidden/>
              </w:rPr>
              <w:fldChar w:fldCharType="begin"/>
            </w:r>
            <w:r w:rsidR="002B55ED">
              <w:rPr>
                <w:noProof/>
                <w:webHidden/>
              </w:rPr>
              <w:instrText xml:space="preserve"> PAGEREF _Toc165706709 \h </w:instrText>
            </w:r>
            <w:r w:rsidR="002B55ED">
              <w:rPr>
                <w:noProof/>
                <w:webHidden/>
              </w:rPr>
            </w:r>
            <w:r w:rsidR="002B55ED">
              <w:rPr>
                <w:noProof/>
                <w:webHidden/>
              </w:rPr>
              <w:fldChar w:fldCharType="separate"/>
            </w:r>
            <w:r w:rsidR="00260715">
              <w:rPr>
                <w:noProof/>
                <w:webHidden/>
              </w:rPr>
              <w:t>8</w:t>
            </w:r>
            <w:r w:rsidR="002B55ED">
              <w:rPr>
                <w:noProof/>
                <w:webHidden/>
              </w:rPr>
              <w:fldChar w:fldCharType="end"/>
            </w:r>
          </w:hyperlink>
        </w:p>
        <w:p w14:paraId="664AC7F8" w14:textId="78CE020B" w:rsidR="002B55ED" w:rsidRDefault="00721A85">
          <w:pPr>
            <w:pStyle w:val="TOC3"/>
            <w:tabs>
              <w:tab w:val="right" w:leader="dot" w:pos="9410"/>
            </w:tabs>
            <w:rPr>
              <w:rFonts w:eastAsiaTheme="minorEastAsia" w:cstheme="minorBidi"/>
              <w:noProof/>
              <w:color w:val="auto"/>
              <w:kern w:val="2"/>
              <w:sz w:val="24"/>
              <w:szCs w:val="24"/>
              <w14:ligatures w14:val="standardContextual"/>
            </w:rPr>
          </w:pPr>
          <w:hyperlink w:anchor="_Toc165706710" w:history="1">
            <w:r w:rsidR="002B55ED" w:rsidRPr="00CC6D11">
              <w:rPr>
                <w:rStyle w:val="Hyperlink"/>
                <w:noProof/>
              </w:rPr>
              <w:t>Level 3: Meets Expectations</w:t>
            </w:r>
            <w:r w:rsidR="002B55ED">
              <w:rPr>
                <w:noProof/>
                <w:webHidden/>
              </w:rPr>
              <w:tab/>
            </w:r>
            <w:r w:rsidR="002B55ED">
              <w:rPr>
                <w:noProof/>
                <w:webHidden/>
              </w:rPr>
              <w:fldChar w:fldCharType="begin"/>
            </w:r>
            <w:r w:rsidR="002B55ED">
              <w:rPr>
                <w:noProof/>
                <w:webHidden/>
              </w:rPr>
              <w:instrText xml:space="preserve"> PAGEREF _Toc165706710 \h </w:instrText>
            </w:r>
            <w:r w:rsidR="002B55ED">
              <w:rPr>
                <w:noProof/>
                <w:webHidden/>
              </w:rPr>
            </w:r>
            <w:r w:rsidR="002B55ED">
              <w:rPr>
                <w:noProof/>
                <w:webHidden/>
              </w:rPr>
              <w:fldChar w:fldCharType="separate"/>
            </w:r>
            <w:r w:rsidR="00260715">
              <w:rPr>
                <w:noProof/>
                <w:webHidden/>
              </w:rPr>
              <w:t>9</w:t>
            </w:r>
            <w:r w:rsidR="002B55ED">
              <w:rPr>
                <w:noProof/>
                <w:webHidden/>
              </w:rPr>
              <w:fldChar w:fldCharType="end"/>
            </w:r>
          </w:hyperlink>
        </w:p>
        <w:p w14:paraId="5DE667BC" w14:textId="09F9C513" w:rsidR="002B55ED" w:rsidRDefault="00721A85">
          <w:pPr>
            <w:pStyle w:val="TOC3"/>
            <w:tabs>
              <w:tab w:val="right" w:leader="dot" w:pos="9410"/>
            </w:tabs>
            <w:rPr>
              <w:rFonts w:eastAsiaTheme="minorEastAsia" w:cstheme="minorBidi"/>
              <w:noProof/>
              <w:color w:val="auto"/>
              <w:kern w:val="2"/>
              <w:sz w:val="24"/>
              <w:szCs w:val="24"/>
              <w14:ligatures w14:val="standardContextual"/>
            </w:rPr>
          </w:pPr>
          <w:hyperlink w:anchor="_Toc165706711" w:history="1">
            <w:r w:rsidR="002B55ED" w:rsidRPr="00CC6D11">
              <w:rPr>
                <w:rStyle w:val="Hyperlink"/>
                <w:noProof/>
              </w:rPr>
              <w:t>Level 4: Exceeds Expectations</w:t>
            </w:r>
            <w:r w:rsidR="002B55ED">
              <w:rPr>
                <w:noProof/>
                <w:webHidden/>
              </w:rPr>
              <w:tab/>
            </w:r>
            <w:r w:rsidR="002B55ED">
              <w:rPr>
                <w:noProof/>
                <w:webHidden/>
              </w:rPr>
              <w:fldChar w:fldCharType="begin"/>
            </w:r>
            <w:r w:rsidR="002B55ED">
              <w:rPr>
                <w:noProof/>
                <w:webHidden/>
              </w:rPr>
              <w:instrText xml:space="preserve"> PAGEREF _Toc165706711 \h </w:instrText>
            </w:r>
            <w:r w:rsidR="002B55ED">
              <w:rPr>
                <w:noProof/>
                <w:webHidden/>
              </w:rPr>
            </w:r>
            <w:r w:rsidR="002B55ED">
              <w:rPr>
                <w:noProof/>
                <w:webHidden/>
              </w:rPr>
              <w:fldChar w:fldCharType="separate"/>
            </w:r>
            <w:r w:rsidR="00260715">
              <w:rPr>
                <w:noProof/>
                <w:webHidden/>
              </w:rPr>
              <w:t>10</w:t>
            </w:r>
            <w:r w:rsidR="002B55ED">
              <w:rPr>
                <w:noProof/>
                <w:webHidden/>
              </w:rPr>
              <w:fldChar w:fldCharType="end"/>
            </w:r>
          </w:hyperlink>
        </w:p>
        <w:p w14:paraId="6B266DB0" w14:textId="770CED46" w:rsidR="002B55ED" w:rsidRDefault="00721A85">
          <w:pPr>
            <w:pStyle w:val="TOC3"/>
            <w:tabs>
              <w:tab w:val="right" w:leader="dot" w:pos="9410"/>
            </w:tabs>
            <w:rPr>
              <w:rFonts w:eastAsiaTheme="minorEastAsia" w:cstheme="minorBidi"/>
              <w:noProof/>
              <w:color w:val="auto"/>
              <w:kern w:val="2"/>
              <w:sz w:val="24"/>
              <w:szCs w:val="24"/>
              <w14:ligatures w14:val="standardContextual"/>
            </w:rPr>
          </w:pPr>
          <w:hyperlink w:anchor="_Toc165706712" w:history="1">
            <w:r w:rsidR="002B55ED" w:rsidRPr="00CC6D11">
              <w:rPr>
                <w:rStyle w:val="Hyperlink"/>
                <w:noProof/>
              </w:rPr>
              <w:t>Level 5: Exceeds Expectations in a Sustained Manner</w:t>
            </w:r>
            <w:r w:rsidR="002B55ED">
              <w:rPr>
                <w:noProof/>
                <w:webHidden/>
              </w:rPr>
              <w:tab/>
            </w:r>
            <w:r w:rsidR="002B55ED">
              <w:rPr>
                <w:noProof/>
                <w:webHidden/>
              </w:rPr>
              <w:fldChar w:fldCharType="begin"/>
            </w:r>
            <w:r w:rsidR="002B55ED">
              <w:rPr>
                <w:noProof/>
                <w:webHidden/>
              </w:rPr>
              <w:instrText xml:space="preserve"> PAGEREF _Toc165706712 \h </w:instrText>
            </w:r>
            <w:r w:rsidR="002B55ED">
              <w:rPr>
                <w:noProof/>
                <w:webHidden/>
              </w:rPr>
            </w:r>
            <w:r w:rsidR="002B55ED">
              <w:rPr>
                <w:noProof/>
                <w:webHidden/>
              </w:rPr>
              <w:fldChar w:fldCharType="separate"/>
            </w:r>
            <w:r w:rsidR="00260715">
              <w:rPr>
                <w:noProof/>
                <w:webHidden/>
              </w:rPr>
              <w:t>10</w:t>
            </w:r>
            <w:r w:rsidR="002B55ED">
              <w:rPr>
                <w:noProof/>
                <w:webHidden/>
              </w:rPr>
              <w:fldChar w:fldCharType="end"/>
            </w:r>
          </w:hyperlink>
        </w:p>
        <w:p w14:paraId="2CBFDD2B" w14:textId="3C4AE356" w:rsidR="002B55ED" w:rsidRDefault="002B55ED">
          <w:r>
            <w:rPr>
              <w:b/>
              <w:bCs/>
              <w:noProof/>
            </w:rPr>
            <w:fldChar w:fldCharType="end"/>
          </w:r>
        </w:p>
      </w:sdtContent>
    </w:sdt>
    <w:p w14:paraId="0DE5AF3F" w14:textId="1B5CEA19" w:rsidR="009F6856" w:rsidRDefault="009F6856">
      <w:pPr>
        <w:widowControl/>
        <w:pBdr>
          <w:top w:val="none" w:sz="0" w:space="0" w:color="auto"/>
          <w:left w:val="none" w:sz="0" w:space="0" w:color="auto"/>
          <w:bottom w:val="none" w:sz="0" w:space="0" w:color="auto"/>
          <w:right w:val="none" w:sz="0" w:space="0" w:color="auto"/>
          <w:between w:val="none" w:sz="0" w:space="0" w:color="auto"/>
        </w:pBdr>
        <w:spacing w:before="0" w:line="276" w:lineRule="auto"/>
        <w:ind w:left="0" w:right="0" w:firstLine="0"/>
        <w:rPr>
          <w:b/>
          <w:i/>
          <w:sz w:val="28"/>
          <w:szCs w:val="28"/>
        </w:rPr>
      </w:pPr>
      <w:bookmarkStart w:id="3" w:name="_Toc165706700"/>
      <w:r>
        <w:br w:type="page"/>
      </w:r>
    </w:p>
    <w:p w14:paraId="00000034" w14:textId="70B5EA2D" w:rsidR="006C736C" w:rsidRDefault="00721A85" w:rsidP="002B55ED">
      <w:pPr>
        <w:pStyle w:val="Heading1"/>
        <w:ind w:left="0" w:firstLine="0"/>
      </w:pPr>
      <w:r w:rsidRPr="00EB3BAD">
        <w:lastRenderedPageBreak/>
        <w:t xml:space="preserve">I. </w:t>
      </w:r>
      <w:r w:rsidRPr="00EB3BAD">
        <w:t>Probationary, Promotion, and Tenure Reviews</w:t>
      </w:r>
      <w:bookmarkEnd w:id="3"/>
    </w:p>
    <w:p w14:paraId="6297876E" w14:textId="77777777" w:rsidR="009F6856" w:rsidRPr="009F6856" w:rsidRDefault="009F6856" w:rsidP="009F6856"/>
    <w:p w14:paraId="00000035" w14:textId="5FD319EC" w:rsidR="006C736C" w:rsidRPr="00EB3BAD" w:rsidRDefault="00721A85" w:rsidP="00EB3BAD">
      <w:pPr>
        <w:pStyle w:val="Heading2"/>
      </w:pPr>
      <w:bookmarkStart w:id="4" w:name="_Toc165706701"/>
      <w:r w:rsidRPr="00EB3BAD">
        <w:t>A. Introduction</w:t>
      </w:r>
      <w:bookmarkEnd w:id="4"/>
    </w:p>
    <w:p w14:paraId="00000038" w14:textId="5AA0156A" w:rsidR="006C736C" w:rsidRPr="00EB3BAD" w:rsidRDefault="00721A85" w:rsidP="00EB3BAD">
      <w:r w:rsidRPr="00EB3BAD">
        <w:t>The personnel review policies of Social and Behavioral Sciences are designed to provide standards by which the interdisciplinary scholarly and creative activities, teaching, and service of a diverse faculty can be fairly and consistently evaluated. An inte</w:t>
      </w:r>
      <w:r w:rsidRPr="00EB3BAD">
        <w:t>rdisciplinary faculty requires the application of criteria that encompass a more diverse range of scholarly and creative activities, teaching approaches, and service contributions than those of a single discipline. Consistent with the policies of the New C</w:t>
      </w:r>
      <w:r w:rsidRPr="00EB3BAD">
        <w:t>ollege and of Arizona State University, these standards are designed to assure and reward excellence in the faculty of the Social and Behavioral Sciences. Probationary reviews are designed to provide timely evaluations and feedback that will assist the fac</w:t>
      </w:r>
      <w:r w:rsidRPr="00EB3BAD">
        <w:t>ulty member in achieving a successful review for promotion and tenure.  Although excellence is required in research, teaching, and service for promotion and tenure, it is recognized that a probationary faculty member will not necessarily earn top scores in</w:t>
      </w:r>
      <w:r w:rsidRPr="00EB3BAD">
        <w:t xml:space="preserve"> all three areas in every review. The normal rhythm of academic life suggests that one area may figure more prominently</w:t>
      </w:r>
      <w:r w:rsidR="00722F92" w:rsidRPr="00EB3BAD">
        <w:t xml:space="preserve"> </w:t>
      </w:r>
      <w:r w:rsidRPr="00EB3BAD">
        <w:t>at one review than another. Probationary reviews will provide feedback to enable a candidate to balance these areas of professional life</w:t>
      </w:r>
      <w:r w:rsidRPr="00EB3BAD">
        <w:t xml:space="preserve"> so that excellence is achieved in all three by the time of the promotion and tenure review.  </w:t>
      </w:r>
    </w:p>
    <w:p w14:paraId="00000039" w14:textId="4EDD40DE" w:rsidR="006C736C" w:rsidRDefault="00721A85" w:rsidP="00EB3BAD">
      <w:r>
        <w:t xml:space="preserve">The receipt of tenure and promotion should reflect both the highest levels of past achievement </w:t>
      </w:r>
      <w:r>
        <w:rPr>
          <w:i/>
        </w:rPr>
        <w:t xml:space="preserve">and </w:t>
      </w:r>
      <w:r>
        <w:t>the promise of future excellence. As written in ACD 506-10, “a</w:t>
      </w:r>
      <w:r>
        <w:t>nnual evaluations do not accumulate into tenure, promotion, termination, or release decisions. For probationary faculty, the annual evaluation should not be confused with probationary review. Annual feedback on progress toward tenure for probationary facul</w:t>
      </w:r>
      <w:r>
        <w:t>ty may occur at the same time as the annual performance evaluation, but probationary reviews are prospective and reflect the academic unit’s estimate of the candidate’s future promise. Thus, the procedures and standards used in annual performance evaluatio</w:t>
      </w:r>
      <w:r>
        <w:t>ns are different from those used in retention, promotion, and tenure reviews.“</w:t>
      </w:r>
    </w:p>
    <w:p w14:paraId="0000003A" w14:textId="77777777" w:rsidR="006C736C" w:rsidRDefault="00721A85" w:rsidP="00EB3BAD">
      <w:pPr>
        <w:pStyle w:val="Heading2"/>
      </w:pPr>
      <w:bookmarkStart w:id="5" w:name="_Toc165706702"/>
      <w:r>
        <w:t>B. Goals and Criteria for the Probationary Review</w:t>
      </w:r>
      <w:bookmarkEnd w:id="5"/>
      <w:r>
        <w:t xml:space="preserve"> </w:t>
      </w:r>
    </w:p>
    <w:p w14:paraId="0000003C" w14:textId="592A0A71" w:rsidR="006C736C" w:rsidRDefault="00721A85" w:rsidP="00EB3BAD">
      <w:r>
        <w:t>Probationary reviews are prospective and reflect the academic unit’s estimate of a candidate’s future promise. Probationary fa</w:t>
      </w:r>
      <w:r>
        <w:t xml:space="preserve">culty members are reviewed during the third and sixth years of their service.  The purpose of the first review is to give the university and the candidate an accurate appraisal of </w:t>
      </w:r>
      <w:r w:rsidR="00722F92">
        <w:t>the progress</w:t>
      </w:r>
      <w:r>
        <w:t xml:space="preserve"> being made toward continuing status with the university. Proced</w:t>
      </w:r>
      <w:r>
        <w:t>ures for probationary reviews are found in ACD 507-05.</w:t>
      </w:r>
    </w:p>
    <w:p w14:paraId="0000003D" w14:textId="77777777" w:rsidR="006C736C" w:rsidRDefault="00721A85" w:rsidP="00EB3BAD">
      <w:pPr>
        <w:pStyle w:val="Heading2"/>
      </w:pPr>
      <w:bookmarkStart w:id="6" w:name="_Toc165706703"/>
      <w:r>
        <w:t>C. Definitions of Excellence for the Purposes of Promotion to Associate Professor with Tenure</w:t>
      </w:r>
      <w:bookmarkEnd w:id="6"/>
      <w:r>
        <w:t xml:space="preserve"> </w:t>
      </w:r>
    </w:p>
    <w:p w14:paraId="0000003E" w14:textId="279425DF" w:rsidR="006C736C" w:rsidRDefault="00721A85" w:rsidP="009F6856">
      <w:pPr>
        <w:spacing w:line="278" w:lineRule="auto"/>
        <w:ind w:left="0" w:right="58" w:firstLine="0"/>
        <w:contextualSpacing/>
      </w:pPr>
      <w:r>
        <w:t>As a multidisciplinary and interdisciplinary school, the members of SBS acknowledge that there is no singl</w:t>
      </w:r>
      <w:r>
        <w:t xml:space="preserve">e route to excellence. The standards identified here are seen as typical accomplishments for an individual who is successful in their field at a level that is consistent with the expectations of the  </w:t>
      </w:r>
    </w:p>
    <w:p w14:paraId="0000003F" w14:textId="72C7412F" w:rsidR="006C736C" w:rsidRDefault="00721A85" w:rsidP="009F6856">
      <w:pPr>
        <w:spacing w:line="278" w:lineRule="auto"/>
        <w:ind w:left="0" w:right="58" w:firstLine="0"/>
        <w:contextualSpacing/>
      </w:pPr>
      <w:r>
        <w:t>New College and Arizona State University, viewed within</w:t>
      </w:r>
      <w:r>
        <w:t xml:space="preserve"> the context of the university’s aspirational peer institutions. The categories of review are not substitutable, but the content is determined by the goals laid out by the candidate and the school director during the years prior to review, in keeping with </w:t>
      </w:r>
      <w:r>
        <w:lastRenderedPageBreak/>
        <w:t>expectations in the faculty member’s scholarly field and available resources. Content may vary according to the norms of the program, but evaluation standards must be consistent with expectations of excellence recognized by the higher levels of review. Whi</w:t>
      </w:r>
      <w:r>
        <w:t xml:space="preserve">le the candidate’s entire portfolio is of relevance in assessing the individual’s accomplishments, there must be substantial evidence of continued progress toward excellence since joining the faculty at ASU.  </w:t>
      </w:r>
    </w:p>
    <w:p w14:paraId="00000040" w14:textId="0A2023FD" w:rsidR="006C736C" w:rsidRPr="009F6856" w:rsidRDefault="00721A85" w:rsidP="00EB3BAD">
      <w:pPr>
        <w:rPr>
          <w:i/>
        </w:rPr>
      </w:pPr>
      <w:r w:rsidRPr="009F6856">
        <w:rPr>
          <w:i/>
        </w:rPr>
        <w:t>(1) Scholarly Activity</w:t>
      </w:r>
    </w:p>
    <w:p w14:paraId="62C492F3" w14:textId="77777777" w:rsidR="00C2381F" w:rsidRDefault="00721A85" w:rsidP="00C2381F">
      <w:pPr>
        <w:spacing w:before="169"/>
        <w:ind w:left="10" w:right="39" w:firstLine="6"/>
      </w:pPr>
      <w:r>
        <w:t>Consistent with New Col</w:t>
      </w:r>
      <w:r>
        <w:t>lege performance criteria, SBS faculty members are expected to sustain an ongoing and coherent program of research resulting in significant scholarly contributions. A candidate for promotion to associate professor must present a portfolio of scholarly work</w:t>
      </w:r>
      <w:r>
        <w:t xml:space="preserve"> that is indicative of excellence and progress toward the establishment of a national reputation in their field </w:t>
      </w:r>
      <w:r w:rsidR="00E23743">
        <w:t>subsequent to</w:t>
      </w:r>
      <w:r w:rsidR="00722F92">
        <w:t xml:space="preserve"> </w:t>
      </w:r>
      <w:r>
        <w:t>the receipt of the doctorate. Within a social and behavioral sciences School, that is typically accomplished by the publication of</w:t>
      </w:r>
      <w:r>
        <w:t xml:space="preserve"> material in peer-reviewed journals and/or recognized presses. The process of establishing a national reputation suggests that the portfolio will display both quantity and quality. To some extent these are substitutable—publication in less competitive jour</w:t>
      </w:r>
      <w:r>
        <w:t xml:space="preserve">nals [as determined by, for example, external reviewers] will demand greater quantity than publication in journals with the very highest rejection rates. The overall mix must indicate to reviewers at all levels that the candidate has demonstrated progress </w:t>
      </w:r>
      <w:r>
        <w:t xml:space="preserve">toward establishing a national reputation within the context of the School and its commitments to interdisciplinary scholarship, excellence in undergraduate instruction, innovative graduate programs, and effective university service. Examples of scholarly </w:t>
      </w:r>
      <w:r>
        <w:t>portfolios that might indicate excellence in research and progress toward a national reputation appear below. In each case, i</w:t>
      </w:r>
      <w:r w:rsidR="00E23743">
        <w:t>t</w:t>
      </w:r>
      <w:r>
        <w:t xml:space="preserve"> is expected that the candidate is a sole or lead author on a substantial proportion of the published work.  </w:t>
      </w:r>
      <w:r w:rsidR="00C2381F">
        <w:t xml:space="preserve">The percentage contribution of the candidate to the publications should be delineated.  </w:t>
      </w:r>
    </w:p>
    <w:p w14:paraId="2A4669B1" w14:textId="77777777" w:rsidR="00C2381F" w:rsidRDefault="00C2381F" w:rsidP="00C2381F">
      <w:pPr>
        <w:pStyle w:val="ListParagraph"/>
        <w:numPr>
          <w:ilvl w:val="0"/>
          <w:numId w:val="1"/>
        </w:numPr>
        <w:spacing w:before="135" w:line="278" w:lineRule="auto"/>
        <w:ind w:right="634"/>
      </w:pPr>
      <w:r w:rsidRPr="002C1E35">
        <w:t xml:space="preserve">10 high quality publications (primarily refereed journal articles or high-impact conference proceedings but may also include some refereed book chapters in high quality presses); or </w:t>
      </w:r>
    </w:p>
    <w:p w14:paraId="6A5176FA" w14:textId="77777777" w:rsidR="00C2381F" w:rsidRPr="002C1E35" w:rsidRDefault="00C2381F" w:rsidP="00C2381F">
      <w:pPr>
        <w:pStyle w:val="ListParagraph"/>
        <w:spacing w:before="135" w:line="278" w:lineRule="auto"/>
        <w:ind w:right="634"/>
        <w:rPr>
          <w:sz w:val="10"/>
          <w:szCs w:val="10"/>
        </w:rPr>
      </w:pPr>
    </w:p>
    <w:p w14:paraId="524E4031" w14:textId="77777777" w:rsidR="00C2381F" w:rsidRPr="002C1E35" w:rsidRDefault="00C2381F" w:rsidP="00C2381F">
      <w:pPr>
        <w:pStyle w:val="ListParagraph"/>
        <w:numPr>
          <w:ilvl w:val="0"/>
          <w:numId w:val="1"/>
        </w:numPr>
        <w:spacing w:before="136" w:line="280" w:lineRule="auto"/>
        <w:ind w:right="12"/>
        <w:jc w:val="both"/>
      </w:pPr>
      <w:r w:rsidRPr="002C1E35">
        <w:t xml:space="preserve">2 books (one of which may be an edited volume) from recognized presses, in specialties in which  a book is more usual; the second book might not be published but should ideally be under a firm  contract following review; or </w:t>
      </w:r>
    </w:p>
    <w:p w14:paraId="1F017CCE" w14:textId="77777777" w:rsidR="00C2381F" w:rsidRPr="002C1E35" w:rsidRDefault="00C2381F" w:rsidP="00C2381F">
      <w:pPr>
        <w:pStyle w:val="ListParagraph"/>
        <w:spacing w:before="136" w:line="280" w:lineRule="auto"/>
        <w:ind w:right="12"/>
        <w:jc w:val="both"/>
        <w:rPr>
          <w:sz w:val="10"/>
          <w:szCs w:val="10"/>
        </w:rPr>
      </w:pPr>
    </w:p>
    <w:p w14:paraId="171DBEFC" w14:textId="77777777" w:rsidR="00C2381F" w:rsidRDefault="00C2381F" w:rsidP="00C2381F">
      <w:pPr>
        <w:pStyle w:val="ListParagraph"/>
        <w:numPr>
          <w:ilvl w:val="0"/>
          <w:numId w:val="1"/>
        </w:numPr>
        <w:spacing w:before="132" w:line="280" w:lineRule="auto"/>
        <w:ind w:right="229"/>
      </w:pPr>
      <w:r w:rsidRPr="002C1E35">
        <w:t xml:space="preserve">1 published book (which may be an edited volume) and 5 refereed articles or book chapters in  fields where publication in varied outlets is usual.  </w:t>
      </w:r>
    </w:p>
    <w:p w14:paraId="6B347C59" w14:textId="77777777" w:rsidR="00C2381F" w:rsidRPr="002C1E35" w:rsidRDefault="00C2381F" w:rsidP="00C2381F">
      <w:pPr>
        <w:pStyle w:val="ListParagraph"/>
        <w:spacing w:before="132" w:line="280" w:lineRule="auto"/>
        <w:ind w:right="229"/>
        <w:rPr>
          <w:sz w:val="10"/>
          <w:szCs w:val="10"/>
        </w:rPr>
      </w:pPr>
    </w:p>
    <w:p w14:paraId="57934204" w14:textId="77777777" w:rsidR="00C2381F" w:rsidRPr="002C1E35" w:rsidRDefault="00C2381F" w:rsidP="00C2381F">
      <w:pPr>
        <w:pStyle w:val="ListParagraph"/>
        <w:numPr>
          <w:ilvl w:val="0"/>
          <w:numId w:val="1"/>
        </w:numPr>
        <w:spacing w:before="146" w:line="278" w:lineRule="auto"/>
        <w:ind w:right="123"/>
      </w:pPr>
      <w:r w:rsidRPr="002C1E35">
        <w:t xml:space="preserve">For faculty who conduct complicated/extended research projects (e.g., ethnographic fieldwork;  extended laboratory studies) 1 book and/or several monographs.  </w:t>
      </w:r>
    </w:p>
    <w:p w14:paraId="00000048" w14:textId="47586BA5" w:rsidR="006C736C" w:rsidRDefault="00C2381F" w:rsidP="00C2381F">
      <w:r>
        <w:t xml:space="preserve">The candidate is responsible for contextualizing the quality of the journals, presses, and other outlets and demonstrating that they are commonly accepted as respectable outlets of quality work.  </w:t>
      </w:r>
      <w:r w:rsidR="00721A85">
        <w:t xml:space="preserve">Presentations and published abstracts of major professional </w:t>
      </w:r>
      <w:r w:rsidR="00721A85">
        <w:t xml:space="preserve">meetings will be taken </w:t>
      </w:r>
      <w:r w:rsidR="00EB3BAD">
        <w:t>into consideration</w:t>
      </w:r>
      <w:r w:rsidR="00721A85">
        <w:t xml:space="preserve"> as part of the overall portfolio of professional involvement, but do not substitute </w:t>
      </w:r>
      <w:r w:rsidR="00EB3BAD">
        <w:t>for published</w:t>
      </w:r>
      <w:r w:rsidR="00721A85">
        <w:t xml:space="preserve"> articles or books. Non-refereed publications of research results are weighted </w:t>
      </w:r>
      <w:r w:rsidR="00E23743">
        <w:t>less heavily</w:t>
      </w:r>
      <w:r w:rsidR="00721A85">
        <w:t xml:space="preserve"> than refereed publication</w:t>
      </w:r>
      <w:r w:rsidR="00721A85">
        <w:t xml:space="preserve">s. In most cases, textbooks cannot be substituted for the publication </w:t>
      </w:r>
      <w:r w:rsidR="00E23743">
        <w:t>of research</w:t>
      </w:r>
      <w:r w:rsidR="00721A85">
        <w:t xml:space="preserve"> results (but textbooks are considered evidence of excellence in teaching). Other </w:t>
      </w:r>
      <w:r w:rsidR="00E23743">
        <w:t>presentations of</w:t>
      </w:r>
      <w:r w:rsidR="00721A85">
        <w:t xml:space="preserve"> research results will be judged according to disciplinary standards.  </w:t>
      </w:r>
    </w:p>
    <w:p w14:paraId="00000049" w14:textId="588F3D4D" w:rsidR="006C736C" w:rsidRDefault="00721A85" w:rsidP="00EB3BAD">
      <w:r>
        <w:lastRenderedPageBreak/>
        <w:t>T</w:t>
      </w:r>
      <w:r>
        <w:t>he p</w:t>
      </w:r>
      <w:r>
        <w:t>ursuit of external funds in support of scholarly activity is encouraged when such activity supports the candidate’s efforts to develop a coherent research program, achieve excellence, and make progress towards a national reputation in the discipline. Secur</w:t>
      </w:r>
      <w:r>
        <w:t>ing support will be considered in the context of the availability of funds, the existence of an appropriate infrastructure to support grant-writing efforts, and a successful publication record. In research areas in which such activity is expected, evidence</w:t>
      </w:r>
      <w:r>
        <w:t xml:space="preserve"> of submission would be sought. It is recognized that the availability of external funding varies considerably within and across disciplines and area of research focus. However, the presence of grants cannot compensate for the absence of publications.  </w:t>
      </w:r>
    </w:p>
    <w:p w14:paraId="0000004A" w14:textId="77777777" w:rsidR="006C736C" w:rsidRPr="00C2381F" w:rsidRDefault="00721A85" w:rsidP="00EB3BAD">
      <w:pPr>
        <w:rPr>
          <w:i/>
        </w:rPr>
      </w:pPr>
      <w:r w:rsidRPr="00C2381F">
        <w:rPr>
          <w:i/>
        </w:rPr>
        <w:t>(2</w:t>
      </w:r>
      <w:r w:rsidRPr="00C2381F">
        <w:rPr>
          <w:i/>
        </w:rPr>
        <w:t xml:space="preserve">) Teaching  </w:t>
      </w:r>
    </w:p>
    <w:p w14:paraId="60E0CEF1" w14:textId="304C1533" w:rsidR="00E23743" w:rsidRDefault="00721A85" w:rsidP="00EB3BAD">
      <w:r>
        <w:t>It is expected that candidates for promotion in the School of Social and Behavioral Sciences will demonstrate a commitment to effective instruction. The form of that instruction will be dictated by the norms of the program, and may include wor</w:t>
      </w:r>
      <w:r>
        <w:t>k in the classroom, on-line or hybrid courses, research with students, field experiences, or Masters, Doctoral or honors theses, and internship supervision.</w:t>
      </w:r>
    </w:p>
    <w:p w14:paraId="0000004D" w14:textId="3A7ED8DC" w:rsidR="006C736C" w:rsidRDefault="00E23743" w:rsidP="00EB3BAD">
      <w:r>
        <w:t xml:space="preserve">Successful candidates will show evidence of excellence in their instructional activities. Evidence should include numeric course evaluations and student comments, syllabi, assignments, and other teaching materials. Additional evidence may include: </w:t>
      </w:r>
    </w:p>
    <w:p w14:paraId="47932AC8" w14:textId="77777777" w:rsidR="00C2381F" w:rsidRDefault="00C2381F" w:rsidP="00C2381F">
      <w:pPr>
        <w:pStyle w:val="ListParagraph"/>
        <w:numPr>
          <w:ilvl w:val="0"/>
          <w:numId w:val="2"/>
        </w:numPr>
        <w:spacing w:before="147" w:line="0" w:lineRule="atLeast"/>
        <w:ind w:right="0"/>
      </w:pPr>
      <w:r w:rsidRPr="002C1E35">
        <w:t xml:space="preserve">the publication of peer-reviewed material related to teaching;  </w:t>
      </w:r>
    </w:p>
    <w:p w14:paraId="73DD1F95" w14:textId="77777777" w:rsidR="00C2381F" w:rsidRPr="00820CC4" w:rsidRDefault="00C2381F" w:rsidP="00C2381F">
      <w:pPr>
        <w:pStyle w:val="ListParagraph"/>
        <w:spacing w:before="147" w:line="0" w:lineRule="atLeast"/>
        <w:rPr>
          <w:sz w:val="10"/>
          <w:szCs w:val="10"/>
        </w:rPr>
      </w:pPr>
    </w:p>
    <w:p w14:paraId="05118AAC" w14:textId="77777777" w:rsidR="00C2381F" w:rsidRDefault="00C2381F" w:rsidP="00C2381F">
      <w:pPr>
        <w:pStyle w:val="ListParagraph"/>
        <w:numPr>
          <w:ilvl w:val="0"/>
          <w:numId w:val="2"/>
        </w:numPr>
        <w:spacing w:line="0" w:lineRule="atLeast"/>
        <w:ind w:right="0"/>
      </w:pPr>
      <w:r w:rsidRPr="002C1E35">
        <w:t xml:space="preserve">publication of textbooks; </w:t>
      </w:r>
    </w:p>
    <w:p w14:paraId="0D019F8F" w14:textId="77777777" w:rsidR="00C2381F" w:rsidRPr="00820CC4" w:rsidRDefault="00C2381F" w:rsidP="00C2381F">
      <w:pPr>
        <w:pStyle w:val="ListParagraph"/>
        <w:spacing w:line="0" w:lineRule="atLeast"/>
        <w:rPr>
          <w:sz w:val="10"/>
          <w:szCs w:val="10"/>
        </w:rPr>
      </w:pPr>
    </w:p>
    <w:p w14:paraId="1252F7D6" w14:textId="77777777" w:rsidR="00C2381F" w:rsidRDefault="00C2381F" w:rsidP="00C2381F">
      <w:pPr>
        <w:pStyle w:val="ListParagraph"/>
        <w:numPr>
          <w:ilvl w:val="0"/>
          <w:numId w:val="2"/>
        </w:numPr>
        <w:spacing w:before="169" w:line="0" w:lineRule="atLeast"/>
        <w:ind w:right="0"/>
      </w:pPr>
      <w:r w:rsidRPr="002C1E35">
        <w:t xml:space="preserve">submission of grant requests related to instruction to external agencies; </w:t>
      </w:r>
    </w:p>
    <w:p w14:paraId="13FA79C7" w14:textId="77777777" w:rsidR="00C2381F" w:rsidRPr="00820CC4" w:rsidRDefault="00C2381F" w:rsidP="00C2381F">
      <w:pPr>
        <w:pStyle w:val="ListParagraph"/>
        <w:spacing w:before="169" w:line="0" w:lineRule="atLeast"/>
        <w:rPr>
          <w:sz w:val="10"/>
          <w:szCs w:val="10"/>
        </w:rPr>
      </w:pPr>
    </w:p>
    <w:p w14:paraId="0B1E8124" w14:textId="77777777" w:rsidR="00C2381F" w:rsidRPr="00820CC4" w:rsidRDefault="00C2381F" w:rsidP="00C2381F">
      <w:pPr>
        <w:pStyle w:val="ListParagraph"/>
        <w:numPr>
          <w:ilvl w:val="0"/>
          <w:numId w:val="2"/>
        </w:numPr>
        <w:spacing w:line="0" w:lineRule="atLeast"/>
        <w:ind w:right="0"/>
      </w:pPr>
      <w:r w:rsidRPr="002C1E35">
        <w:t xml:space="preserve">measures of student success;  </w:t>
      </w:r>
    </w:p>
    <w:p w14:paraId="2C4CFE3F" w14:textId="77777777" w:rsidR="00C2381F" w:rsidRPr="00820CC4" w:rsidRDefault="00C2381F" w:rsidP="00C2381F">
      <w:pPr>
        <w:pStyle w:val="ListParagraph"/>
        <w:spacing w:line="0" w:lineRule="atLeast"/>
        <w:rPr>
          <w:sz w:val="10"/>
          <w:szCs w:val="10"/>
        </w:rPr>
      </w:pPr>
    </w:p>
    <w:p w14:paraId="20C28B42" w14:textId="77777777" w:rsidR="00C2381F" w:rsidRPr="002C1E35" w:rsidRDefault="00C2381F" w:rsidP="00C2381F">
      <w:pPr>
        <w:pStyle w:val="ListParagraph"/>
        <w:numPr>
          <w:ilvl w:val="0"/>
          <w:numId w:val="2"/>
        </w:numPr>
        <w:spacing w:line="0" w:lineRule="atLeast"/>
        <w:ind w:right="1100"/>
      </w:pPr>
      <w:r w:rsidRPr="002C1E35">
        <w:t xml:space="preserve">other forms of recognition from students and peers, including peer assessments and nominations for awards that recognize instruction.  </w:t>
      </w:r>
    </w:p>
    <w:p w14:paraId="00000053" w14:textId="69D73D13" w:rsidR="006C736C" w:rsidRDefault="00721A85" w:rsidP="00C2381F">
      <w:pPr>
        <w:spacing w:line="278" w:lineRule="auto"/>
        <w:ind w:left="0" w:right="58" w:firstLine="0"/>
        <w:contextualSpacing/>
      </w:pPr>
      <w:r>
        <w:t>The evaluation of instruction is complex, and should consider teaching load, course difficulty, medium of instruction (on-line, face-to-face, hybrid), class size, the mix of required and elective classes, and similar variables. Reviewers expect that negati</w:t>
      </w:r>
      <w:r>
        <w:t xml:space="preserve">ve feedback from peers and/or students will be addressed during  </w:t>
      </w:r>
    </w:p>
    <w:p w14:paraId="00000054" w14:textId="18AA49FB" w:rsidR="006C736C" w:rsidRDefault="00721A85" w:rsidP="00C2381F">
      <w:pPr>
        <w:spacing w:line="278" w:lineRule="auto"/>
        <w:ind w:left="0" w:right="58" w:firstLine="0"/>
        <w:contextualSpacing/>
      </w:pPr>
      <w:r>
        <w:t>the probationary period. Candidates who receive negative feedback and who show no improvement in their teaching performance may be judged to be ineffective instructors. Persistently unaccept</w:t>
      </w:r>
      <w:r>
        <w:t>able performance on teaching evaluations or other measures of instructional effectiveness are an indication that teaching needs improvement. Work with student groups, with graduate students of all ranks and from all parts of the university system, and curr</w:t>
      </w:r>
      <w:r>
        <w:t xml:space="preserve">icular innovation (both within courses, of new courses and of new degrees and/or programs) will be recognized as valuable and will be evaluated positively.  However, such achievements cannot normally be substituted for excellence in instruction.  </w:t>
      </w:r>
    </w:p>
    <w:p w14:paraId="00000055" w14:textId="77777777" w:rsidR="006C736C" w:rsidRPr="00C2381F" w:rsidRDefault="00721A85" w:rsidP="00EB3BAD">
      <w:pPr>
        <w:rPr>
          <w:i/>
        </w:rPr>
      </w:pPr>
      <w:r w:rsidRPr="00C2381F">
        <w:rPr>
          <w:i/>
        </w:rPr>
        <w:t>(3) Serv</w:t>
      </w:r>
      <w:r w:rsidRPr="00C2381F">
        <w:rPr>
          <w:i/>
        </w:rPr>
        <w:t xml:space="preserve">ice  </w:t>
      </w:r>
    </w:p>
    <w:p w14:paraId="00000056" w14:textId="4EE3495B" w:rsidR="006C736C" w:rsidRDefault="00721A85" w:rsidP="00EB3BAD">
      <w:r>
        <w:t>Service is ordinarily recognized in the following areas: 1) School; 2) college; 3) campus/university; 4) community; and 5) appropriate regional, national, or international professional organizations. Members of the School are expected to undertake ba</w:t>
      </w:r>
      <w:r>
        <w:t>sic levels of service consistent with its needs but this occurs with the understanding that the faculty member is focused upon the development of research and instructional abilities prior to tenure. Service is evaluated not just by membership on various</w:t>
      </w:r>
      <w:r w:rsidR="00E23743">
        <w:t xml:space="preserve"> </w:t>
      </w:r>
      <w:r>
        <w:lastRenderedPageBreak/>
        <w:t>c</w:t>
      </w:r>
      <w:r>
        <w:t>ommittees, but based on evidence of the quality of the member’s contribution. Examples of quality service would include attending scheduled meetings, being prepared for meetings, and assuming a reasonable share of committee tasks. Reviewers will look for e</w:t>
      </w:r>
      <w:r>
        <w:t>vidence of committee work within the school and college (levels 1 &amp; 2). Service at the campus/university levels (3) will be rewarded, however it is recognized that such opportunities are limited and not available to all faculty within a given year.  Servic</w:t>
      </w:r>
      <w:r>
        <w:t>e to the community (4) and to professional organizations (5) can be evidence of an integration of research and teaching and can be seen as extensions of one or both. Work with community organizations of all types may have value for students and further the</w:t>
      </w:r>
      <w:r>
        <w:t xml:space="preserve"> mission of the university. Service to professional organizations as a program chair, manuscript reviewer or editorial board member, are examples of professional service. A strong service record cannot be substituted for weaknesses in the research or teach</w:t>
      </w:r>
      <w:r>
        <w:t xml:space="preserve">ing portfolios. </w:t>
      </w:r>
    </w:p>
    <w:p w14:paraId="00000057" w14:textId="2AD95DA5" w:rsidR="006C736C" w:rsidRDefault="00721A85" w:rsidP="00EB3BAD">
      <w:pPr>
        <w:pStyle w:val="Heading2"/>
      </w:pPr>
      <w:bookmarkStart w:id="7" w:name="_Toc165706704"/>
      <w:r>
        <w:t>D. Definitions of Excellence for Promotion to Full Professor</w:t>
      </w:r>
      <w:bookmarkEnd w:id="7"/>
    </w:p>
    <w:p w14:paraId="00000059" w14:textId="0B4932C9" w:rsidR="006C736C" w:rsidRDefault="00721A85" w:rsidP="00EB3BAD">
      <w:r>
        <w:t xml:space="preserve">After a successful post-tenure career, an individual may opt to be reviewed for promotion to full professor. The goal of this review will be to assess the continuing progress of </w:t>
      </w:r>
      <w:r>
        <w:t>the candidate, the continued demonstration of excellence and leadership in teaching and service, and the extension of their reputation in scholarship. As noted in New College by-laws (Article IVA1b), promotion to full professor is based on evidence of sign</w:t>
      </w:r>
      <w:r>
        <w:t xml:space="preserve">ificant scholarly contributions to a field that sustain or enhance national or international recognition.  </w:t>
      </w:r>
    </w:p>
    <w:p w14:paraId="0000005A" w14:textId="5123655F" w:rsidR="006C736C" w:rsidRDefault="00721A85" w:rsidP="00EB3BAD">
      <w:r>
        <w:t>The same categories of performance will be taken into consideration as were considered for promotion to associate professor. Excellence, quality, an</w:t>
      </w:r>
      <w:r>
        <w:t>d impact will be defined as in the earlier section of this document. In addition, the candidate must demonstrate the attainment of a national or international reputation within their field. A record of excellence for promotion to professor would include an</w:t>
      </w:r>
      <w:r>
        <w:t xml:space="preserve"> established, mature, and productive research program with evidence of sustained impact in the field.  When appropriate within the discipline, the candidate’s success in attracting external funding will be considered. Teaching should continue to meet high </w:t>
      </w:r>
      <w:r>
        <w:t>standards with evidence of curricular impact.  Service is expected to be more substantial with the candidate exhibiting leadership at the school and campus/university levels. Service to the community and profession would be more visible and typically would</w:t>
      </w:r>
      <w:r>
        <w:t xml:space="preserve"> include substantive work as an editor or on editorial boards, officer roles in professional organizations, significant organizing roles in the discipline or community, and other impactful forms of service. Awards, fellowships and similar forms of recognit</w:t>
      </w:r>
      <w:r>
        <w:t xml:space="preserve">ion would be considered additional evidence of national or international recognition. </w:t>
      </w:r>
    </w:p>
    <w:p w14:paraId="0000005B" w14:textId="1B1C02B3" w:rsidR="006C736C" w:rsidRDefault="00721A85" w:rsidP="00EB3BAD">
      <w:pPr>
        <w:pStyle w:val="Heading1"/>
      </w:pPr>
      <w:bookmarkStart w:id="8" w:name="_Toc165706705"/>
      <w:r>
        <w:t>I</w:t>
      </w:r>
      <w:r w:rsidR="007F1AB9">
        <w:t>I</w:t>
      </w:r>
      <w:r>
        <w:t>. Annual Reviews</w:t>
      </w:r>
      <w:bookmarkEnd w:id="8"/>
      <w:r>
        <w:t xml:space="preserve"> </w:t>
      </w:r>
    </w:p>
    <w:p w14:paraId="0000005C" w14:textId="14D53DE0" w:rsidR="006C736C" w:rsidRDefault="00721A85" w:rsidP="000A5DCB">
      <w:r>
        <w:t xml:space="preserve">The review shall cover the immediately preceding </w:t>
      </w:r>
      <w:r w:rsidR="00C2381F">
        <w:t>36-month</w:t>
      </w:r>
      <w:r>
        <w:t xml:space="preserve"> period, with the emphasis on the evaluation of teaching, service, and scholarship in the la</w:t>
      </w:r>
      <w:r>
        <w:t xml:space="preserve">st twelve months and weighted in relation to the agreed upon distribution of workload. In considering a three-year time span, the process recognizes that some forms of faculty work, such as data collection by field researchers and the writing of scholarly </w:t>
      </w:r>
      <w:r>
        <w:t>books unfold over longer than one year. The process provides feedback to the faculty member who is in a probationary period prior to tenure review, and it also serves as a post-tenure review for tenured faculty members. The evaluation also assesses how the</w:t>
      </w:r>
      <w:r>
        <w:t xml:space="preserve"> individual has helped advance the goals of the </w:t>
      </w:r>
      <w:r>
        <w:lastRenderedPageBreak/>
        <w:t>School</w:t>
      </w:r>
      <w:r w:rsidR="00E23743">
        <w:t xml:space="preserve"> </w:t>
      </w:r>
      <w:r>
        <w:t xml:space="preserve">through their activities. At the school level, performance ratings are assigned by the director, </w:t>
      </w:r>
      <w:r w:rsidR="00E23743">
        <w:t>based in</w:t>
      </w:r>
      <w:r>
        <w:t xml:space="preserve"> part on the recommendations of the Personnel Committee. Appeals are decided by the Dean. </w:t>
      </w:r>
      <w:r w:rsidR="00E23743">
        <w:t>The scores</w:t>
      </w:r>
      <w:r>
        <w:t xml:space="preserve"> awarded in the annual review are part of the input used to reward performance (when merit funds are available). The faculty member is responsible for providing evidence and information for </w:t>
      </w:r>
      <w:r w:rsidR="00E23743">
        <w:t>the three</w:t>
      </w:r>
      <w:r>
        <w:t xml:space="preserve"> preceding calendar years in order to provide a full </w:t>
      </w:r>
      <w:r>
        <w:t xml:space="preserve">context for the review, prior to a </w:t>
      </w:r>
      <w:r w:rsidR="00E23743">
        <w:t>deadline established</w:t>
      </w:r>
      <w:r>
        <w:t xml:space="preserve"> each year. </w:t>
      </w:r>
    </w:p>
    <w:p w14:paraId="0000005D" w14:textId="30584BFC" w:rsidR="006C736C" w:rsidRDefault="00721A85" w:rsidP="000A5DCB">
      <w:r>
        <w:t>The annual review process will consider both the quantity and quality of scholarly work. For example, in teaching, the assessment should consider student comments, syllabi, assignments, an</w:t>
      </w:r>
      <w:r>
        <w:t xml:space="preserve">d other teaching materials in addition to numeric course evaluations. Additional examples of evidence that support excellence in teaching are provided in Section VIIIC(2).  </w:t>
      </w:r>
    </w:p>
    <w:p w14:paraId="0000005E" w14:textId="77777777" w:rsidR="006C736C" w:rsidRDefault="00721A85" w:rsidP="000A5DCB">
      <w:pPr>
        <w:pStyle w:val="Heading2"/>
      </w:pPr>
      <w:bookmarkStart w:id="9" w:name="_Toc165706706"/>
      <w:r>
        <w:t>A. Levels of performance</w:t>
      </w:r>
      <w:bookmarkEnd w:id="9"/>
      <w:r>
        <w:t xml:space="preserve"> </w:t>
      </w:r>
    </w:p>
    <w:p w14:paraId="0000005F" w14:textId="26C126AD" w:rsidR="006C736C" w:rsidRDefault="00721A85" w:rsidP="000A5DCB">
      <w:r>
        <w:t>The review involves a five-point scale, where 1 is “unsa</w:t>
      </w:r>
      <w:r>
        <w:t>tisfactory performance,” 2 is “partially meets expectations”, 3 is “meets expectations,” 4 is “exceeds expectations,” and 5 is “exceeds expectations in a sustained manner.” A level 1 performance evaluation will trigger additional review for faculty members</w:t>
      </w:r>
      <w:r>
        <w:t xml:space="preserve"> undergoing post-tenure review. There is no limit in the School as to the number or</w:t>
      </w:r>
      <w:r w:rsidR="00E23743">
        <w:t xml:space="preserve"> </w:t>
      </w:r>
      <w:r>
        <w:t xml:space="preserve">proportion of faculty members who can receive any given score.  </w:t>
      </w:r>
    </w:p>
    <w:p w14:paraId="00000060" w14:textId="6CC6D1E9" w:rsidR="006C736C" w:rsidRDefault="00721A85" w:rsidP="000A5DCB">
      <w:r>
        <w:t>A faculty member’s performance will be evaluated based upon written expectations for the distribution of te</w:t>
      </w:r>
      <w:r>
        <w:t>aching, research, and service workload as assigned by the director after consultation with the faculty member. These expectations must be defined within the goals and mission of the School and college, the context of the School’s aspirational peer institut</w:t>
      </w:r>
      <w:r>
        <w:t>ions and available resources. The assignment of performance expectations will account for differences in appropriate work expectations between pre-tenure and post-</w:t>
      </w:r>
      <w:proofErr w:type="spellStart"/>
      <w:r>
        <w:t>tenure</w:t>
      </w:r>
      <w:proofErr w:type="spellEnd"/>
      <w:r>
        <w:t xml:space="preserve"> faculty, and within each of these categories. In cases where the</w:t>
      </w:r>
      <w:r w:rsidR="00E23743">
        <w:t xml:space="preserve"> </w:t>
      </w:r>
      <w:r>
        <w:t>faculty member and di</w:t>
      </w:r>
      <w:r>
        <w:t xml:space="preserve">rector cannot agree on work expectations, the faculty member may appeal to the dean. </w:t>
      </w:r>
    </w:p>
    <w:p w14:paraId="00000061" w14:textId="780074FA" w:rsidR="006C736C" w:rsidRDefault="00721A85" w:rsidP="000A5DCB">
      <w:r>
        <w:t>Overall evaluation: Each year faculty receives workload assignments for research, teaching, and service.  Loads may vary from year to year depending on assignments made b</w:t>
      </w:r>
      <w:r>
        <w:t xml:space="preserve">y the director after consultation with the faculty member from year to year. A faculty member’s overall rating should </w:t>
      </w:r>
      <w:proofErr w:type="gramStart"/>
      <w:r>
        <w:t>take into account</w:t>
      </w:r>
      <w:proofErr w:type="gramEnd"/>
      <w:r>
        <w:t xml:space="preserve">: (1) the faculty member’s rating on research, teaching, and service for that year (see section </w:t>
      </w:r>
      <w:proofErr w:type="spellStart"/>
      <w:r>
        <w:t>IXb</w:t>
      </w:r>
      <w:proofErr w:type="spellEnd"/>
      <w:r>
        <w:t xml:space="preserve"> below on factors that</w:t>
      </w:r>
      <w:r>
        <w:t xml:space="preserve"> should be considered before ratings are assigned), (2) the faculty member’s workload assignments, and (3) the pattern of performance during the </w:t>
      </w:r>
      <w:r w:rsidR="00C2381F">
        <w:t>three-year</w:t>
      </w:r>
      <w:r>
        <w:t xml:space="preserve"> window.  </w:t>
      </w:r>
    </w:p>
    <w:p w14:paraId="00000062" w14:textId="406CE864" w:rsidR="006C736C" w:rsidRDefault="00721A85" w:rsidP="000A5DCB">
      <w:r>
        <w:t>There are two steps to computing a faculty member’s rating for a given year. First, the fa</w:t>
      </w:r>
      <w:r>
        <w:t xml:space="preserve">culty member is scored in terms of research, teaching, and service. A faculty member will receive the following scores depending on which level they were placed in regards to research, teaching, and service.  </w:t>
      </w:r>
    </w:p>
    <w:p w14:paraId="1FF6EDAF" w14:textId="77777777" w:rsidR="00C2381F" w:rsidRDefault="00C2381F" w:rsidP="00C2381F">
      <w:pPr>
        <w:spacing w:line="278" w:lineRule="auto"/>
        <w:ind w:left="0" w:right="58" w:firstLine="0"/>
        <w:contextualSpacing/>
      </w:pPr>
    </w:p>
    <w:p w14:paraId="00000063" w14:textId="25B15AD9" w:rsidR="006C736C" w:rsidRDefault="00721A85" w:rsidP="00C2381F">
      <w:pPr>
        <w:spacing w:line="278" w:lineRule="auto"/>
        <w:ind w:left="0" w:right="58" w:firstLine="0"/>
        <w:contextualSpacing/>
      </w:pPr>
      <w:r>
        <w:t xml:space="preserve">Level 5 = 5 </w:t>
      </w:r>
    </w:p>
    <w:p w14:paraId="00000064" w14:textId="77777777" w:rsidR="006C736C" w:rsidRDefault="00721A85" w:rsidP="00C2381F">
      <w:pPr>
        <w:spacing w:line="278" w:lineRule="auto"/>
        <w:ind w:left="0" w:right="58" w:firstLine="0"/>
        <w:contextualSpacing/>
      </w:pPr>
      <w:r>
        <w:t xml:space="preserve">Level 4 = 4  </w:t>
      </w:r>
    </w:p>
    <w:p w14:paraId="00000065" w14:textId="77777777" w:rsidR="006C736C" w:rsidRDefault="00721A85" w:rsidP="00C2381F">
      <w:pPr>
        <w:spacing w:line="278" w:lineRule="auto"/>
        <w:ind w:left="0" w:right="58" w:firstLine="0"/>
        <w:contextualSpacing/>
      </w:pPr>
      <w:r>
        <w:t xml:space="preserve">Level 3 = 3  </w:t>
      </w:r>
    </w:p>
    <w:p w14:paraId="00000066" w14:textId="77777777" w:rsidR="006C736C" w:rsidRDefault="00721A85" w:rsidP="00C2381F">
      <w:pPr>
        <w:spacing w:line="278" w:lineRule="auto"/>
        <w:ind w:left="0" w:right="58" w:firstLine="0"/>
        <w:contextualSpacing/>
      </w:pPr>
      <w:r>
        <w:t xml:space="preserve">Level 2 = 2  </w:t>
      </w:r>
    </w:p>
    <w:p w14:paraId="00000067" w14:textId="77777777" w:rsidR="006C736C" w:rsidRDefault="00721A85" w:rsidP="00C2381F">
      <w:pPr>
        <w:spacing w:line="278" w:lineRule="auto"/>
        <w:ind w:left="0" w:right="58" w:firstLine="0"/>
        <w:contextualSpacing/>
      </w:pPr>
      <w:r>
        <w:t xml:space="preserve">Level 1 = 1  </w:t>
      </w:r>
    </w:p>
    <w:p w14:paraId="0EE942B9" w14:textId="77777777" w:rsidR="00C2381F" w:rsidRDefault="00C2381F" w:rsidP="000A5DCB"/>
    <w:p w14:paraId="00000068" w14:textId="6B0A8DA7" w:rsidR="006C736C" w:rsidRDefault="00721A85" w:rsidP="000A5DCB">
      <w:r>
        <w:t>In</w:t>
      </w:r>
      <w:r>
        <w:t xml:space="preserve"> the second step, the overall rating is calculated using the formula:  </w:t>
      </w:r>
    </w:p>
    <w:p w14:paraId="00000069" w14:textId="77777777" w:rsidR="006C736C" w:rsidRDefault="00721A85" w:rsidP="000A5DCB">
      <w:r>
        <w:t xml:space="preserve">( (research workload % * research rating) + (teaching workload % * teaching rating) + (service workload  % * service workload)) = overall score  </w:t>
      </w:r>
    </w:p>
    <w:p w14:paraId="0000006A" w14:textId="6463EB16" w:rsidR="006C736C" w:rsidRDefault="00721A85" w:rsidP="000A5DCB">
      <w:r>
        <w:t>For exam</w:t>
      </w:r>
      <w:r>
        <w:t xml:space="preserve">ple, if a faculty member’s load was .40 for research, .40 for teaching, and .20 for service </w:t>
      </w:r>
      <w:r w:rsidR="000A5DCB">
        <w:t>and the</w:t>
      </w:r>
      <w:r>
        <w:t xml:space="preserve"> faculty member received a rating of 5, 4, and 3 respectively, the formula would be:  </w:t>
      </w:r>
    </w:p>
    <w:p w14:paraId="0000006B" w14:textId="77777777" w:rsidR="006C736C" w:rsidRDefault="00721A85" w:rsidP="000A5DCB">
      <w:r>
        <w:t xml:space="preserve">((.40 * 5) + (.40 * 4) + (.20 * 3) = 2 + 1.6 + .6= 4.2 </w:t>
      </w:r>
    </w:p>
    <w:p w14:paraId="0000006C" w14:textId="77777777" w:rsidR="006C736C" w:rsidRDefault="00721A85" w:rsidP="000A5DCB">
      <w:pPr>
        <w:pStyle w:val="Heading2"/>
      </w:pPr>
      <w:bookmarkStart w:id="10" w:name="_Toc165706707"/>
      <w:r>
        <w:t xml:space="preserve">B. Qualifying </w:t>
      </w:r>
      <w:r>
        <w:t>Factors in Performance Reviews</w:t>
      </w:r>
      <w:bookmarkEnd w:id="10"/>
      <w:r>
        <w:t xml:space="preserve"> </w:t>
      </w:r>
    </w:p>
    <w:p w14:paraId="0000006F" w14:textId="11F635AF" w:rsidR="006C736C" w:rsidRDefault="00721A85" w:rsidP="000A5DCB">
      <w:r>
        <w:t xml:space="preserve">1. Teaching evaluation scores shall not be the only measure considered in evaluating teaching performance. Among the additional measures that may be used are peer observation; evaluation of syllabi; creation of new courses; </w:t>
      </w:r>
      <w:r>
        <w:t xml:space="preserve">research that directly contributes to enhancing teaching; instructional innovations; examples of student work in classes; examples of independent study projects or honors’ theses; etc. Evaluation of teaching will </w:t>
      </w:r>
      <w:proofErr w:type="gramStart"/>
      <w:r>
        <w:t>take into account</w:t>
      </w:r>
      <w:proofErr w:type="gramEnd"/>
      <w:r>
        <w:t xml:space="preserve"> the context of the course</w:t>
      </w:r>
      <w:r>
        <w:t xml:space="preserve"> – whether it is required or is an elective; the amount of quantitative and methodological content; and the class size, and other factors.  </w:t>
      </w:r>
    </w:p>
    <w:p w14:paraId="00000070" w14:textId="2D7640A2" w:rsidR="006C736C" w:rsidRDefault="00721A85" w:rsidP="000A5DCB">
      <w:r>
        <w:t xml:space="preserve">2. The performance review should take into consideration faculty members’ assigned workloads, which may specify different levels of expected effort in teaching, research, and service.  </w:t>
      </w:r>
    </w:p>
    <w:p w14:paraId="00000071" w14:textId="7A7CF3D5" w:rsidR="006C736C" w:rsidRDefault="00721A85" w:rsidP="000A5DCB">
      <w:r>
        <w:t>3. It is recognized that some forms of scholarship, such as field rese</w:t>
      </w:r>
      <w:r>
        <w:t xml:space="preserve">arch or the writing of academic books, are conducted over relatively lengthy periods of time. The annual review should take this into account by contextualizing the candidate’s performance over the entire </w:t>
      </w:r>
      <w:proofErr w:type="gramStart"/>
      <w:r>
        <w:t>three year</w:t>
      </w:r>
      <w:proofErr w:type="gramEnd"/>
      <w:r>
        <w:t xml:space="preserve"> period. At the same time, candidates sho</w:t>
      </w:r>
      <w:r>
        <w:t>uld provide evidence each year that their scholarship is progressing toward peer reviewed publication. Evidence of progress can take a variety of forms, such as funding requests, conference papers or posters that report on in-progress fieldwork, interim re</w:t>
      </w:r>
      <w:r>
        <w:t xml:space="preserve">ports to funders or project sponsors, a prospectus, or chapters of a larger book project.  </w:t>
      </w:r>
    </w:p>
    <w:p w14:paraId="00000072" w14:textId="631A4CC3" w:rsidR="006C736C" w:rsidRDefault="00721A85" w:rsidP="000A5DCB">
      <w:r>
        <w:t>4. The final performance evaluation score should consider the three-year performance window. In this way, a faculty member’s performance evaluation should recognize</w:t>
      </w:r>
      <w:r>
        <w:t xml:space="preserve"> that some forms of scholarship develop over longer periods of time. Examples include, but are not limited to a book project, field research, or the development of a new or particularly challenging course. Successful completion of interim steps in these pr</w:t>
      </w:r>
      <w:r>
        <w:t xml:space="preserve">ojects should be considered as evidence in the evaluation, as should the completed products. At the same time, the evaluation should acknowledge sustained levels of inadequate performance, such as an ongoing pattern of poor teaching, persistent failure to </w:t>
      </w:r>
      <w:r>
        <w:t xml:space="preserve">publish research or a continuing record of limited service.  </w:t>
      </w:r>
    </w:p>
    <w:p w14:paraId="00000073" w14:textId="00F7781F" w:rsidR="006C736C" w:rsidRDefault="00721A85" w:rsidP="000A5DCB">
      <w:r>
        <w:t>5. For purposes of annual evaluation, articles, books, creative works in print or accepted for publication (in press) will be considered under the category of "publications." Works in progress o</w:t>
      </w:r>
      <w:r>
        <w:t>r under review will be considered as evidence of an ongoing research publication program and should be referred to in the self-evaluation (but will not replace publications accepted). In cases where publication delays or other extenuating circumstances wou</w:t>
      </w:r>
      <w:r>
        <w:t xml:space="preserve">ld unfairly penalize a faculty member, evidence of a publication </w:t>
      </w:r>
      <w:r>
        <w:lastRenderedPageBreak/>
        <w:t>commitment would be considered and should be explained in the self-evaluation. If a faculty member chooses to have a manuscript considered which has been accepted for publication but is not y</w:t>
      </w:r>
      <w:r>
        <w:t xml:space="preserve">et in print, the burden is on the faculty member to present evidence that the journal/publisher has accepted the manuscript. </w:t>
      </w:r>
    </w:p>
    <w:p w14:paraId="00000074" w14:textId="11D96254" w:rsidR="006C736C" w:rsidRDefault="00721A85" w:rsidP="000A5DCB">
      <w:r>
        <w:t>6. It also should be noted that the example criteria listed below for Annual Review are activities that would typically take place</w:t>
      </w:r>
      <w:r>
        <w:t xml:space="preserve"> within a single academic or calendar year and reflect an assigned workload distribution of 40% teaching (4 courses per year), 40% research, and 20% service. Faculty contracted under divergent workload distributions will be evaluated accordingly.  </w:t>
      </w:r>
    </w:p>
    <w:p w14:paraId="00000075" w14:textId="77777777" w:rsidR="006C736C" w:rsidRPr="000A5DCB" w:rsidRDefault="00721A85" w:rsidP="000A5DCB">
      <w:pPr>
        <w:pStyle w:val="Heading3"/>
      </w:pPr>
      <w:bookmarkStart w:id="11" w:name="_Toc165706708"/>
      <w:r w:rsidRPr="000A5DCB">
        <w:t>Level 1</w:t>
      </w:r>
      <w:r w:rsidRPr="000A5DCB">
        <w:t>: Unsatisfactory Performance</w:t>
      </w:r>
      <w:bookmarkEnd w:id="11"/>
      <w:r w:rsidRPr="000A5DCB">
        <w:t xml:space="preserve"> </w:t>
      </w:r>
    </w:p>
    <w:p w14:paraId="00000076" w14:textId="54A4C8E8" w:rsidR="006C736C" w:rsidRDefault="00721A85" w:rsidP="000A5DCB">
      <w:r>
        <w:t>An absence of substantive scholarly activity as indicated by an inactive research program, poor performance in teaching or failure to perform expected levels of service. Examples of unsatisfactory performance might include:</w:t>
      </w:r>
    </w:p>
    <w:p w14:paraId="00000078" w14:textId="779EF4D1"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 xml:space="preserve">Consistently </w:t>
      </w:r>
      <w:proofErr w:type="gramStart"/>
      <w:r>
        <w:t>poor quality</w:t>
      </w:r>
      <w:proofErr w:type="gramEnd"/>
      <w:r>
        <w:t xml:space="preserve"> teaching as evidenced by a pattern of negative student comments, poorly prepared teaching materials, or assignments that fail to promote student learning and engagement. Or, failure to maintain, in the majority of courses taught, </w:t>
      </w:r>
      <w:r>
        <w:t xml:space="preserve">scores on student evaluations that are consistent with School norms for “meets expectations”;  </w:t>
      </w:r>
    </w:p>
    <w:p w14:paraId="00000079" w14:textId="3D7F04C7"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Failure to perform essential service activities at the professional, university, college, or division level as assigned by the dean or school director; failur</w:t>
      </w:r>
      <w:r>
        <w:t xml:space="preserve">e to perform duties on faculty committees; and  </w:t>
      </w:r>
    </w:p>
    <w:p w14:paraId="0000007A" w14:textId="60A6545C"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 xml:space="preserve">insufficient scholarly activity. This criterion would be defined in terms of a failure to </w:t>
      </w:r>
      <w:r w:rsidR="000A5DCB">
        <w:t>produce sufficient</w:t>
      </w:r>
      <w:r>
        <w:t xml:space="preserve"> evidence of research progress as noted under “meet expectations” below. </w:t>
      </w:r>
    </w:p>
    <w:p w14:paraId="0000007B" w14:textId="67FF3ABD" w:rsidR="006C736C" w:rsidRDefault="00721A85" w:rsidP="000A5DCB">
      <w:pPr>
        <w:pStyle w:val="Heading3"/>
      </w:pPr>
      <w:bookmarkStart w:id="12" w:name="_Toc165706709"/>
      <w:r>
        <w:t>Level 2: Partially Meet</w:t>
      </w:r>
      <w:r>
        <w:t>s Expectations</w:t>
      </w:r>
      <w:bookmarkEnd w:id="12"/>
    </w:p>
    <w:p w14:paraId="0000007C" w14:textId="6E95057F" w:rsidR="006C736C" w:rsidRDefault="00721A85" w:rsidP="000A5DCB">
      <w:r>
        <w:t xml:space="preserve">This level of scholarly activity means that the faculty member’s performance currently fails to fully satisfy minimum expectations for SBS faculty performance but shows convincing evidence of improvement, progress, potential, and/or partial </w:t>
      </w:r>
      <w:r>
        <w:t xml:space="preserve">success. Examples of performance in teaching and service that partially meet expectations might include:  </w:t>
      </w:r>
    </w:p>
    <w:p w14:paraId="0000007D" w14:textId="4BA4CA29"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Acceptable scores on teaching evaluations in some of the courses taught but not others; a mixed record of positive and negative student comments th</w:t>
      </w:r>
      <w:r>
        <w:t>at suggest conscientious effort and acceptable performance in some aspects of teaching but not others; teaching materials and practices that are consistent with some school norms for preparation and the promotion of student learning and engagement, but not</w:t>
      </w:r>
      <w:r>
        <w:t xml:space="preserve"> others.  </w:t>
      </w:r>
    </w:p>
    <w:p w14:paraId="0000007E" w14:textId="37CF47D3"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A mixed record in performing essential services at the professional, university, school, or college level (as agreed to by the faculty member with the dean or the director); assumes some service roles but fails to contribute at expected levels</w:t>
      </w:r>
      <w:r>
        <w:t xml:space="preserve"> in some of these.  </w:t>
      </w:r>
    </w:p>
    <w:p w14:paraId="0000007F" w14:textId="401CE340" w:rsidR="006C736C" w:rsidRDefault="00721A85" w:rsidP="000A5DCB">
      <w:r>
        <w:t>The models of scholarship presented below are meant to serve as examples of performance that partially meets expectations. These examples are neither exhaustive nor definitive; the requirements would be tailored to the individual facul</w:t>
      </w:r>
      <w:r>
        <w:t xml:space="preserve">ty member’s workload, as assigned by the director after consultation with the faculty member.  </w:t>
      </w:r>
    </w:p>
    <w:p w14:paraId="00000080" w14:textId="059ECD16" w:rsidR="006C736C" w:rsidRDefault="00721A85" w:rsidP="000A5DCB">
      <w:r>
        <w:rPr>
          <w:rFonts w:ascii="Noto Sans Symbols" w:eastAsia="Noto Sans Symbols" w:hAnsi="Noto Sans Symbols" w:cs="Noto Sans Symbols"/>
        </w:rPr>
        <w:lastRenderedPageBreak/>
        <w:t>▪</w:t>
      </w:r>
      <w:r>
        <w:rPr>
          <w:rFonts w:ascii="Noto Sans Symbols" w:eastAsia="Noto Sans Symbols" w:hAnsi="Noto Sans Symbols" w:cs="Noto Sans Symbols"/>
        </w:rPr>
        <w:t xml:space="preserve"> </w:t>
      </w:r>
      <w:r>
        <w:t xml:space="preserve">Model I: submission of conference paper to a national or regional meeting (relevant to the individual’s research) that is not accepted; partial completion of </w:t>
      </w:r>
      <w:r>
        <w:t>a grant request to an internal or external competition; partial completion of a manuscript intended for submission to a scholarly</w:t>
      </w:r>
      <w:r w:rsidR="00026075">
        <w:t xml:space="preserve"> </w:t>
      </w:r>
      <w:r>
        <w:t xml:space="preserve">journal;  </w:t>
      </w:r>
    </w:p>
    <w:p w14:paraId="00000081" w14:textId="77777777"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 xml:space="preserve">Model II: submission of a proposal for a book chapter or essay;  </w:t>
      </w:r>
    </w:p>
    <w:p w14:paraId="00000082" w14:textId="382E65E3"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III: completion of major research tasks</w:t>
      </w:r>
      <w:r>
        <w:t xml:space="preserve"> on a project intended to be submitted for publication or external funding; </w:t>
      </w:r>
    </w:p>
    <w:p w14:paraId="00000083" w14:textId="26932636"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 xml:space="preserve">Model IV: Substantive revision of a manuscript or grant request previously rejected by a journal or funding source. </w:t>
      </w:r>
    </w:p>
    <w:p w14:paraId="00000084" w14:textId="457D6563" w:rsidR="006C736C" w:rsidRDefault="00721A85" w:rsidP="000A5DCB">
      <w:pPr>
        <w:pStyle w:val="Heading3"/>
      </w:pPr>
      <w:bookmarkStart w:id="13" w:name="_Toc165706710"/>
      <w:r>
        <w:t>Level 3: Meets Expectations</w:t>
      </w:r>
      <w:bookmarkEnd w:id="13"/>
    </w:p>
    <w:p w14:paraId="00000087" w14:textId="3D3128BD" w:rsidR="006C736C" w:rsidRDefault="00721A85" w:rsidP="000A5DCB">
      <w:r>
        <w:t>This level of scholarly activity</w:t>
      </w:r>
      <w:r>
        <w:t xml:space="preserve"> means that the faculty member meets expectations for SBS faculty performance in teaching, research, or service. The faculty member provides evidence of substantive progress in research, conscientious teaching, and sufficient service. Examples of performan</w:t>
      </w:r>
      <w:r>
        <w:t xml:space="preserve">ce in teaching and service that meets expectations might include:  </w:t>
      </w:r>
    </w:p>
    <w:p w14:paraId="00000088" w14:textId="21F4A571"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Acceptable scores on teaching evaluations, in the majority of courses taught; a mostly positive pattern of student comments; and teaching materials and practices that are consistent with</w:t>
      </w:r>
      <w:r>
        <w:t xml:space="preserve"> school norms for preparation and the promotion of student learning and engagement.  </w:t>
      </w:r>
    </w:p>
    <w:p w14:paraId="00000089" w14:textId="3E6FA15A"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Adequate performance of essential services at the professional, university, school, or college level as agreed to by the faculty member with the dean or the director; a</w:t>
      </w:r>
      <w:r>
        <w:t xml:space="preserve">ssumes an equitable share of the service duties required of faculty in the program or school. </w:t>
      </w:r>
    </w:p>
    <w:p w14:paraId="0000008A" w14:textId="7295C9B2" w:rsidR="006C736C" w:rsidRDefault="00721A85" w:rsidP="000A5DCB">
      <w:r>
        <w:t>The models of satisfactory scholarship presented below are meant to serve as examples that could encompass academic expectations at aspirational peer institution</w:t>
      </w:r>
      <w:r>
        <w:t xml:space="preserve">s for the different disciplines that comprise the School. These examples are neither exhaustive nor definitive; the requirements would be tailored to the individual faculty member’s workload, as assigned by the director after consultation with the faculty </w:t>
      </w:r>
      <w:r>
        <w:t xml:space="preserve">member.  </w:t>
      </w:r>
    </w:p>
    <w:p w14:paraId="0000008B" w14:textId="60CBDBA2"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 presentation of a conference paper at a national or regional meeting relevant to the individual’s research; submission of a grant request to an internal competition (when available), and submission of an original manuscript in a schola</w:t>
      </w:r>
      <w:r>
        <w:t xml:space="preserve">rly journal;  </w:t>
      </w:r>
    </w:p>
    <w:p w14:paraId="0000008C" w14:textId="644F3ADD"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 xml:space="preserve">Model II: revision of a conference paper presented at a national meeting for submission to a recognized journal or completion of a book chapter following editorial invitation, and completion of one or more book review essays following invitation to do so; </w:t>
      </w:r>
      <w:r>
        <w:t xml:space="preserve">or </w:t>
      </w:r>
    </w:p>
    <w:p w14:paraId="0000008D" w14:textId="53C37D7C"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 xml:space="preserve">Model III: submission of a high-quality proposal seeking external funding to support field research and presentation of a conference paper at a national meeting relevant to the individual’s research. </w:t>
      </w:r>
    </w:p>
    <w:p w14:paraId="0000008E" w14:textId="07077509"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IV: Completion of a new chapter of a book</w:t>
      </w:r>
      <w:r>
        <w:t xml:space="preserve"> manuscript that had previously been contracted for publication based on a prospectus along with other evidence of scholarly engagement, such as a conference presentation.  </w:t>
      </w:r>
    </w:p>
    <w:p w14:paraId="44217F22" w14:textId="77777777" w:rsidR="00C2381F" w:rsidRDefault="00C2381F" w:rsidP="000A5DCB"/>
    <w:p w14:paraId="0000008F" w14:textId="77777777" w:rsidR="006C736C" w:rsidRDefault="00721A85" w:rsidP="000A5DCB">
      <w:pPr>
        <w:pStyle w:val="Heading3"/>
      </w:pPr>
      <w:bookmarkStart w:id="14" w:name="_Toc165706711"/>
      <w:r>
        <w:lastRenderedPageBreak/>
        <w:t>Level 4: Exceeds Expectations</w:t>
      </w:r>
      <w:bookmarkEnd w:id="14"/>
      <w:r>
        <w:t xml:space="preserve"> </w:t>
      </w:r>
    </w:p>
    <w:p w14:paraId="00000090" w14:textId="6D73ACC6" w:rsidR="006C736C" w:rsidRDefault="00721A85" w:rsidP="000A5DCB">
      <w:r>
        <w:t>Exceed expectations means that the faculty member exceeds average/expected levels of performance in teaching, research, or service as described above. The faculty member provides evidence of notable accomplishment in research, teaching, and service. Exampl</w:t>
      </w:r>
      <w:r>
        <w:t xml:space="preserve">es of performance that exceeds expectations might include: </w:t>
      </w:r>
    </w:p>
    <w:p w14:paraId="00000091" w14:textId="74F49F9E"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Scores on teaching evaluations, in the majority of courses taught, that are consistently high; a positive pattern of student comments in courses for which the faculty member has had adequate tra</w:t>
      </w:r>
      <w:r>
        <w:t xml:space="preserve">ining and experience; teaching materials and practices that exhibit high levels of preparation, foster student learning, and promote student engagement.  </w:t>
      </w:r>
    </w:p>
    <w:p w14:paraId="00000092" w14:textId="5336EEC5"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Assumption of appropriate leadership roles in essential service activities at the professional, uni</w:t>
      </w:r>
      <w:r>
        <w:t xml:space="preserve">versity, college, or school level as negotiated by the individual faculty member and the dean or director; assumes a substantive share of the service duties required of faculty in the program or school. </w:t>
      </w:r>
    </w:p>
    <w:p w14:paraId="00000093" w14:textId="42F4F16B" w:rsidR="006C736C" w:rsidRDefault="00721A85" w:rsidP="000A5DCB">
      <w:r>
        <w:t xml:space="preserve">The models of scholarship presented below are meant </w:t>
      </w:r>
      <w:r>
        <w:t>to serve as examples that could encompass academic expectations at aspirational peer institutions for the different disciplines that comprise the school. These examples are neither exhaustive nor definitive; the requirements would be tailored to the indivi</w:t>
      </w:r>
      <w:r>
        <w:t xml:space="preserve">dual faculty member’s workload, as assigned by the director after consultation with the faculty member. Successful performance might include: </w:t>
      </w:r>
    </w:p>
    <w:p w14:paraId="00000094" w14:textId="06B57119"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 publication of a paper in a recognized high-quality journal or of a book chapter in a recognized high-</w:t>
      </w:r>
      <w:r>
        <w:t xml:space="preserve">quality press, and additional scholarly work such as presentation of a conference paper at a national or international meeting, submission of an internal grant request (when available), or completion of an invited book review essay; </w:t>
      </w:r>
    </w:p>
    <w:p w14:paraId="00000095" w14:textId="6B5186F1"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II: Receipt of</w:t>
      </w:r>
      <w:r>
        <w:t xml:space="preserve"> a grant submitted to an external agency where the individual is a member of a collaborative team or a co-investigator, and presentation of a conference paper at a national meeting relevant to the individual’s research.  </w:t>
      </w:r>
    </w:p>
    <w:p w14:paraId="00000096" w14:textId="333F7CDC"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III: Completion of two new</w:t>
      </w:r>
      <w:r>
        <w:t xml:space="preserve"> chapters of a scholarly book previously contracted for publication based on a prospectus along with other evidence of scholarship, such as a conference paper.  </w:t>
      </w:r>
    </w:p>
    <w:p w14:paraId="00000097" w14:textId="77777777" w:rsidR="006C736C" w:rsidRDefault="00721A85" w:rsidP="000A5DCB">
      <w:pPr>
        <w:pStyle w:val="Heading3"/>
      </w:pPr>
      <w:bookmarkStart w:id="15" w:name="_Toc165706712"/>
      <w:r>
        <w:t>Level 5: Exceeds Expectations in a Sustained Manner</w:t>
      </w:r>
      <w:bookmarkEnd w:id="15"/>
      <w:r>
        <w:t xml:space="preserve"> </w:t>
      </w:r>
    </w:p>
    <w:p w14:paraId="00000098" w14:textId="3ECE4FB6" w:rsidR="006C736C" w:rsidRDefault="00721A85" w:rsidP="000A5DCB">
      <w:r>
        <w:t>To be ranked at Level 5 faculty members m</w:t>
      </w:r>
      <w:r>
        <w:t>ust give evidence that performance exceeds one or more of the standards for Level 4 (see above). The record should provide evidence of outstanding accomplishment. The models of scholarship presented below are meant to serve as examples that could encompass</w:t>
      </w:r>
      <w:r>
        <w:t xml:space="preserve"> academic expectations at aspirational peer institutions for the different disciplines that</w:t>
      </w:r>
      <w:r w:rsidR="0014162C">
        <w:t xml:space="preserve"> </w:t>
      </w:r>
      <w:r>
        <w:t>comprise the School. These examples are neither exhaustive nor definitive; the requirements would be tailored to the individual faculty member’s workload, as assign</w:t>
      </w:r>
      <w:r>
        <w:t xml:space="preserve">ed by the director after consultation with the faculty member. Examples of performance that would receive the highest scores might include: </w:t>
      </w:r>
    </w:p>
    <w:p w14:paraId="00000099" w14:textId="2DB1B1C8"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Teaching evaluation scores that consistently approach the highest possible rating; a pattern of very positive stu</w:t>
      </w:r>
      <w:r>
        <w:t>dent comments; outstanding pedagogical achievement as indicated by high</w:t>
      </w:r>
      <w:r w:rsidR="00C2381F">
        <w:t xml:space="preserve"> </w:t>
      </w:r>
      <w:r>
        <w:t>quality curriculum development, instructional innovations, exceptional mentoring, teaching</w:t>
      </w:r>
      <w:r w:rsidR="00C2381F">
        <w:t xml:space="preserve"> </w:t>
      </w:r>
      <w:r>
        <w:t xml:space="preserve">award, or other </w:t>
      </w:r>
      <w:r>
        <w:lastRenderedPageBreak/>
        <w:t xml:space="preserve">indicators of sustained excellence.  </w:t>
      </w:r>
    </w:p>
    <w:p w14:paraId="0000009A" w14:textId="54EF8C23"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Assumption of significant and effec</w:t>
      </w:r>
      <w:r>
        <w:t>tive leadership roles in essential service activities at multiple levels (professional, university, college, or school), as negotiated by the individual faculty member with the dean or the director. Significant professional service might include serving as</w:t>
      </w:r>
      <w:r>
        <w:t xml:space="preserve"> program chair at a regional or national meeting or frequent and consistent participation in reviewing for professional journals. </w:t>
      </w:r>
    </w:p>
    <w:p w14:paraId="0000009B" w14:textId="77777777" w:rsidR="006C736C" w:rsidRDefault="00721A85" w:rsidP="000A5DCB">
      <w:r>
        <w:t xml:space="preserve">High scholarly performance might include: </w:t>
      </w:r>
    </w:p>
    <w:p w14:paraId="0000009C" w14:textId="16B1322A"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 publication of two or more papers in recognized high-quality journals o</w:t>
      </w:r>
      <w:r>
        <w:t>r of a paper and</w:t>
      </w:r>
      <w:r w:rsidR="00C2381F">
        <w:t xml:space="preserve"> a peer-reviewed</w:t>
      </w:r>
      <w:r>
        <w:t xml:space="preserve"> book chapter; or </w:t>
      </w:r>
    </w:p>
    <w:p w14:paraId="0000009D" w14:textId="77777777" w:rsidR="006C736C" w:rsidRDefault="00721A85" w:rsidP="000A5DCB">
      <w:r>
        <w:rPr>
          <w:rFonts w:ascii="Noto Sans Symbols" w:eastAsia="Noto Sans Symbols" w:hAnsi="Noto Sans Symbols" w:cs="Noto Sans Symbols"/>
        </w:rPr>
        <w:t>▪</w:t>
      </w:r>
      <w:r>
        <w:rPr>
          <w:rFonts w:ascii="Noto Sans Symbols" w:eastAsia="Noto Sans Symbols" w:hAnsi="Noto Sans Symbols" w:cs="Noto Sans Symbols"/>
        </w:rPr>
        <w:t xml:space="preserve"> </w:t>
      </w:r>
      <w:r>
        <w:t xml:space="preserve">Model II: publication of a book by a recognized high-quality press; or </w:t>
      </w:r>
    </w:p>
    <w:p w14:paraId="000000A8" w14:textId="1741E2E2" w:rsidR="006C736C" w:rsidRPr="007F1AB9" w:rsidRDefault="00721A85" w:rsidP="000A5DCB">
      <w:pPr>
        <w:rPr>
          <w:i/>
          <w:iCs/>
        </w:rPr>
      </w:pPr>
      <w:r>
        <w:rPr>
          <w:rFonts w:ascii="Noto Sans Symbols" w:eastAsia="Noto Sans Symbols" w:hAnsi="Noto Sans Symbols" w:cs="Noto Sans Symbols"/>
        </w:rPr>
        <w:t>▪</w:t>
      </w:r>
      <w:r>
        <w:rPr>
          <w:rFonts w:ascii="Noto Sans Symbols" w:eastAsia="Noto Sans Symbols" w:hAnsi="Noto Sans Symbols" w:cs="Noto Sans Symbols"/>
        </w:rPr>
        <w:t xml:space="preserve"> </w:t>
      </w:r>
      <w:r>
        <w:t>Model III: receipt of a grant submitted to an external agency where the individual is the sole or lead investigator and one peer-</w:t>
      </w:r>
      <w:r>
        <w:t>reviewed publication.</w:t>
      </w:r>
    </w:p>
    <w:sectPr w:rsidR="006C736C" w:rsidRPr="007F1AB9" w:rsidSect="00D075B9">
      <w:footerReference w:type="default" r:id="rId13"/>
      <w:headerReference w:type="first" r:id="rId14"/>
      <w:pgSz w:w="12240" w:h="15840"/>
      <w:pgMar w:top="708" w:right="1387" w:bottom="1536" w:left="1433"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894B" w14:textId="77777777" w:rsidR="008912E3" w:rsidRDefault="008912E3" w:rsidP="00EB3BAD">
      <w:r>
        <w:separator/>
      </w:r>
    </w:p>
  </w:endnote>
  <w:endnote w:type="continuationSeparator" w:id="0">
    <w:p w14:paraId="2B4C2FF2" w14:textId="77777777" w:rsidR="008912E3" w:rsidRDefault="008912E3" w:rsidP="00EB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15674"/>
      <w:docPartObj>
        <w:docPartGallery w:val="Page Numbers (Bottom of Page)"/>
        <w:docPartUnique/>
      </w:docPartObj>
    </w:sdtPr>
    <w:sdtEndPr>
      <w:rPr>
        <w:noProof/>
      </w:rPr>
    </w:sdtEndPr>
    <w:sdtContent>
      <w:p w14:paraId="2A16FAA8" w14:textId="22821716" w:rsidR="00260715" w:rsidRDefault="002607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1FD8BC" w14:textId="77777777" w:rsidR="00260715" w:rsidRDefault="00260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67115957" w:displacedByCustomXml="next"/>
  <w:sdt>
    <w:sdtPr>
      <w:id w:val="1932085084"/>
      <w:docPartObj>
        <w:docPartGallery w:val="Page Numbers (Bottom of Page)"/>
        <w:docPartUnique/>
      </w:docPartObj>
    </w:sdtPr>
    <w:sdtEndPr>
      <w:rPr>
        <w:noProof/>
      </w:rPr>
    </w:sdtEndPr>
    <w:sdtContent>
      <w:p w14:paraId="0D145595" w14:textId="77777777" w:rsidR="00DD2C96" w:rsidRPr="003B40B4" w:rsidRDefault="00DD2C96" w:rsidP="00DD2C96">
        <w:pPr>
          <w:pStyle w:val="Footer"/>
          <w:jc w:val="center"/>
          <w:rPr>
            <w:rFonts w:ascii="Arial" w:hAnsi="Arial" w:cs="Arial"/>
            <w:b/>
            <w:color w:val="990000"/>
            <w:sz w:val="16"/>
            <w:szCs w:val="18"/>
          </w:rPr>
        </w:pPr>
        <w:r w:rsidRPr="003B40B4">
          <w:rPr>
            <w:rFonts w:ascii="Arial" w:hAnsi="Arial" w:cs="Arial"/>
            <w:b/>
            <w:color w:val="990000"/>
            <w:sz w:val="16"/>
            <w:szCs w:val="18"/>
          </w:rPr>
          <w:t xml:space="preserve">Office of the </w:t>
        </w:r>
        <w:r>
          <w:rPr>
            <w:rFonts w:ascii="Arial" w:hAnsi="Arial" w:cs="Arial"/>
            <w:b/>
            <w:color w:val="990000"/>
            <w:sz w:val="16"/>
            <w:szCs w:val="18"/>
          </w:rPr>
          <w:t>U</w:t>
        </w:r>
        <w:r w:rsidRPr="003B40B4">
          <w:rPr>
            <w:rFonts w:ascii="Arial" w:hAnsi="Arial" w:cs="Arial"/>
            <w:b/>
            <w:color w:val="990000"/>
            <w:sz w:val="16"/>
            <w:szCs w:val="18"/>
          </w:rPr>
          <w:t xml:space="preserve">niversity </w:t>
        </w:r>
        <w:r>
          <w:rPr>
            <w:rFonts w:ascii="Arial" w:hAnsi="Arial" w:cs="Arial"/>
            <w:b/>
            <w:color w:val="990000"/>
            <w:sz w:val="16"/>
            <w:szCs w:val="18"/>
          </w:rPr>
          <w:t>P</w:t>
        </w:r>
        <w:r w:rsidRPr="003B40B4">
          <w:rPr>
            <w:rFonts w:ascii="Arial" w:hAnsi="Arial" w:cs="Arial"/>
            <w:b/>
            <w:color w:val="990000"/>
            <w:sz w:val="16"/>
            <w:szCs w:val="18"/>
          </w:rPr>
          <w:t xml:space="preserve">rovost </w:t>
        </w:r>
      </w:p>
      <w:p w14:paraId="6023FB69" w14:textId="77777777" w:rsidR="00DD2C96" w:rsidRDefault="00DD2C96" w:rsidP="00DD2C96">
        <w:pPr>
          <w:pStyle w:val="Footer"/>
          <w:jc w:val="center"/>
          <w:rPr>
            <w:rFonts w:ascii="Arial" w:hAnsi="Arial" w:cs="Arial"/>
            <w:color w:val="990000"/>
            <w:sz w:val="14"/>
            <w:szCs w:val="16"/>
          </w:rPr>
        </w:pPr>
      </w:p>
      <w:p w14:paraId="5F70D385" w14:textId="77777777" w:rsidR="00DD2C96" w:rsidRPr="003B40B4" w:rsidRDefault="00DD2C96" w:rsidP="00DD2C96">
        <w:pPr>
          <w:pStyle w:val="Footer"/>
          <w:jc w:val="center"/>
          <w:rPr>
            <w:rFonts w:ascii="Arial" w:hAnsi="Arial" w:cs="Arial"/>
            <w:color w:val="990000"/>
            <w:sz w:val="14"/>
            <w:szCs w:val="16"/>
          </w:rPr>
        </w:pPr>
        <w:r w:rsidRPr="003B40B4">
          <w:rPr>
            <w:rFonts w:ascii="Arial" w:hAnsi="Arial" w:cs="Arial"/>
            <w:color w:val="990000"/>
            <w:sz w:val="14"/>
            <w:szCs w:val="16"/>
          </w:rPr>
          <w:t xml:space="preserve">300 </w:t>
        </w:r>
        <w:r>
          <w:rPr>
            <w:rFonts w:ascii="Arial" w:hAnsi="Arial" w:cs="Arial"/>
            <w:color w:val="990000"/>
            <w:sz w:val="14"/>
            <w:szCs w:val="16"/>
          </w:rPr>
          <w:t>East</w:t>
        </w:r>
        <w:r w:rsidRPr="003B40B4">
          <w:rPr>
            <w:rFonts w:ascii="Arial" w:hAnsi="Arial" w:cs="Arial"/>
            <w:color w:val="990000"/>
            <w:sz w:val="14"/>
            <w:szCs w:val="16"/>
          </w:rPr>
          <w:t xml:space="preserve"> University </w:t>
        </w:r>
        <w:r>
          <w:rPr>
            <w:rFonts w:ascii="Arial" w:hAnsi="Arial" w:cs="Arial"/>
            <w:color w:val="990000"/>
            <w:sz w:val="14"/>
            <w:szCs w:val="16"/>
          </w:rPr>
          <w:t>D</w:t>
        </w:r>
        <w:r w:rsidRPr="003B40B4">
          <w:rPr>
            <w:rFonts w:ascii="Arial" w:hAnsi="Arial" w:cs="Arial"/>
            <w:color w:val="990000"/>
            <w:sz w:val="14"/>
            <w:szCs w:val="16"/>
          </w:rPr>
          <w:t>rive</w:t>
        </w:r>
      </w:p>
      <w:p w14:paraId="066F7022" w14:textId="77777777" w:rsidR="00DD2C96" w:rsidRPr="003B40B4" w:rsidRDefault="00DD2C96" w:rsidP="00DD2C96">
        <w:pPr>
          <w:pStyle w:val="Footer"/>
          <w:jc w:val="center"/>
          <w:rPr>
            <w:rFonts w:ascii="Arial" w:hAnsi="Arial" w:cs="Arial"/>
            <w:color w:val="990000"/>
            <w:sz w:val="14"/>
            <w:szCs w:val="16"/>
          </w:rPr>
        </w:pPr>
        <w:r w:rsidRPr="003B40B4">
          <w:rPr>
            <w:rFonts w:ascii="Arial" w:hAnsi="Arial" w:cs="Arial"/>
            <w:color w:val="990000"/>
            <w:sz w:val="14"/>
            <w:szCs w:val="16"/>
          </w:rPr>
          <w:t>P.</w:t>
        </w:r>
        <w:r>
          <w:rPr>
            <w:rFonts w:ascii="Arial" w:hAnsi="Arial" w:cs="Arial"/>
            <w:color w:val="990000"/>
            <w:sz w:val="14"/>
            <w:szCs w:val="16"/>
          </w:rPr>
          <w:t>O</w:t>
        </w:r>
        <w:r w:rsidRPr="003B40B4">
          <w:rPr>
            <w:rFonts w:ascii="Arial" w:hAnsi="Arial" w:cs="Arial"/>
            <w:color w:val="990000"/>
            <w:sz w:val="14"/>
            <w:szCs w:val="16"/>
          </w:rPr>
          <w:t xml:space="preserve">. </w:t>
        </w:r>
        <w:r>
          <w:rPr>
            <w:rFonts w:ascii="Arial" w:hAnsi="Arial" w:cs="Arial"/>
            <w:color w:val="990000"/>
            <w:sz w:val="14"/>
            <w:szCs w:val="16"/>
          </w:rPr>
          <w:t>Box 877805 Tempe</w:t>
        </w:r>
        <w:r w:rsidRPr="003B40B4">
          <w:rPr>
            <w:rFonts w:ascii="Arial" w:hAnsi="Arial" w:cs="Arial"/>
            <w:color w:val="990000"/>
            <w:sz w:val="14"/>
            <w:szCs w:val="16"/>
          </w:rPr>
          <w:t xml:space="preserve">, </w:t>
        </w:r>
        <w:r>
          <w:rPr>
            <w:rFonts w:ascii="Arial" w:hAnsi="Arial" w:cs="Arial"/>
            <w:color w:val="990000"/>
            <w:sz w:val="14"/>
            <w:szCs w:val="16"/>
          </w:rPr>
          <w:t xml:space="preserve">AZ </w:t>
        </w:r>
        <w:r w:rsidRPr="003B40B4">
          <w:rPr>
            <w:rFonts w:ascii="Arial" w:hAnsi="Arial" w:cs="Arial"/>
            <w:color w:val="990000"/>
            <w:sz w:val="14"/>
            <w:szCs w:val="16"/>
          </w:rPr>
          <w:t>85287-780</w:t>
        </w:r>
        <w:r>
          <w:rPr>
            <w:rFonts w:ascii="Arial" w:hAnsi="Arial" w:cs="Arial"/>
            <w:color w:val="990000"/>
            <w:sz w:val="14"/>
            <w:szCs w:val="16"/>
          </w:rPr>
          <w:t>5</w:t>
        </w:r>
      </w:p>
      <w:p w14:paraId="7C2D8185" w14:textId="77777777" w:rsidR="00DD2C96" w:rsidRDefault="00DD2C96" w:rsidP="00DD2C96">
        <w:pPr>
          <w:pStyle w:val="Footer"/>
          <w:jc w:val="center"/>
          <w:rPr>
            <w:rFonts w:ascii="Arial" w:hAnsi="Arial" w:cs="Arial"/>
            <w:color w:val="990000"/>
            <w:sz w:val="14"/>
            <w:szCs w:val="16"/>
          </w:rPr>
        </w:pPr>
        <w:r w:rsidRPr="003B40B4">
          <w:rPr>
            <w:rFonts w:ascii="Arial" w:hAnsi="Arial" w:cs="Arial"/>
            <w:color w:val="990000"/>
            <w:sz w:val="14"/>
            <w:szCs w:val="16"/>
          </w:rPr>
          <w:t>(480) 965-4995</w:t>
        </w:r>
        <w:r>
          <w:rPr>
            <w:rFonts w:ascii="Arial" w:hAnsi="Arial" w:cs="Arial"/>
            <w:color w:val="990000"/>
            <w:sz w:val="14"/>
            <w:szCs w:val="16"/>
          </w:rPr>
          <w:t xml:space="preserve"> Fax: (480) 965-0785</w:t>
        </w:r>
      </w:p>
      <w:p w14:paraId="283C3B3D" w14:textId="21C37C40" w:rsidR="00260715" w:rsidRDefault="00DD2C96" w:rsidP="00DD2C96">
        <w:pPr>
          <w:pStyle w:val="Footer"/>
          <w:jc w:val="center"/>
        </w:pPr>
        <w:r>
          <w:rPr>
            <w:rFonts w:ascii="Arial" w:hAnsi="Arial" w:cs="Arial"/>
            <w:color w:val="990000"/>
            <w:sz w:val="14"/>
            <w:szCs w:val="16"/>
          </w:rPr>
          <w:t>https://provost.asu.edu/</w:t>
        </w:r>
      </w:p>
    </w:sdtContent>
  </w:sdt>
  <w:bookmarkEnd w:id="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793770"/>
      <w:docPartObj>
        <w:docPartGallery w:val="Page Numbers (Bottom of Page)"/>
        <w:docPartUnique/>
      </w:docPartObj>
    </w:sdtPr>
    <w:sdtEndPr>
      <w:rPr>
        <w:noProof/>
      </w:rPr>
    </w:sdtEndPr>
    <w:sdtContent>
      <w:p w14:paraId="6EBDC7EB" w14:textId="77777777" w:rsidR="00260715" w:rsidRDefault="002607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B6847" w14:textId="77777777" w:rsidR="00260715" w:rsidRDefault="00260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18987" w14:textId="77777777" w:rsidR="008912E3" w:rsidRDefault="008912E3" w:rsidP="00EB3BAD">
      <w:r>
        <w:separator/>
      </w:r>
    </w:p>
  </w:footnote>
  <w:footnote w:type="continuationSeparator" w:id="0">
    <w:p w14:paraId="341A0874" w14:textId="77777777" w:rsidR="008912E3" w:rsidRDefault="008912E3" w:rsidP="00EB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3400047"/>
      <w:docPartObj>
        <w:docPartGallery w:val="Page Numbers (Top of Page)"/>
        <w:docPartUnique/>
      </w:docPartObj>
    </w:sdtPr>
    <w:sdtEndPr>
      <w:rPr>
        <w:rStyle w:val="PageNumber"/>
      </w:rPr>
    </w:sdtEndPr>
    <w:sdtContent>
      <w:p w14:paraId="431F2B20" w14:textId="57F2F549" w:rsidR="00C0333B" w:rsidRDefault="00C0333B" w:rsidP="00EB3BAD">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4C672E" w14:textId="77777777" w:rsidR="00C0333B" w:rsidRDefault="00C0333B" w:rsidP="00EB3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DAA5" w14:textId="592BDEB8" w:rsidR="009F6856" w:rsidRDefault="009F6856">
    <w:pPr>
      <w:pStyle w:val="Header"/>
    </w:pPr>
  </w:p>
  <w:p w14:paraId="41BB9E2B" w14:textId="77777777" w:rsidR="00C0333B" w:rsidRDefault="00C0333B" w:rsidP="00EB3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448F" w14:textId="1F8CF083" w:rsidR="009F6856" w:rsidRDefault="00DD2C96" w:rsidP="009F6856">
    <w:pPr>
      <w:pStyle w:val="Header"/>
      <w:jc w:val="center"/>
    </w:pPr>
    <w:r>
      <w:rPr>
        <w:noProof/>
      </w:rPr>
      <w:drawing>
        <wp:inline distT="0" distB="0" distL="0" distR="0" wp14:anchorId="7CF391D2" wp14:editId="272E10D0">
          <wp:extent cx="1898650" cy="552450"/>
          <wp:effectExtent l="0" t="0" r="6350" b="0"/>
          <wp:docPr id="2" name="Picture 2"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2C70" w14:textId="77777777" w:rsidR="00D075B9" w:rsidRDefault="00D075B9" w:rsidP="009F6856">
    <w:pPr>
      <w:pStyle w:val="Header"/>
      <w:jc w:val="center"/>
    </w:pPr>
    <w:r>
      <w:rPr>
        <w:noProof/>
      </w:rPr>
      <w:drawing>
        <wp:inline distT="0" distB="0" distL="0" distR="0" wp14:anchorId="6D628BB8" wp14:editId="7896F32C">
          <wp:extent cx="1898650" cy="552450"/>
          <wp:effectExtent l="0" t="0" r="6350" b="0"/>
          <wp:docPr id="3" name="Picture 3" descr="ASU 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M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6DB"/>
    <w:multiLevelType w:val="hybridMultilevel"/>
    <w:tmpl w:val="E40E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7554A"/>
    <w:multiLevelType w:val="hybridMultilevel"/>
    <w:tmpl w:val="9380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6C"/>
    <w:rsid w:val="00005539"/>
    <w:rsid w:val="00016492"/>
    <w:rsid w:val="00026075"/>
    <w:rsid w:val="000A5DCB"/>
    <w:rsid w:val="000B6B1D"/>
    <w:rsid w:val="000D3372"/>
    <w:rsid w:val="001026B3"/>
    <w:rsid w:val="0014162C"/>
    <w:rsid w:val="001966C5"/>
    <w:rsid w:val="00260715"/>
    <w:rsid w:val="00290F6A"/>
    <w:rsid w:val="002B55ED"/>
    <w:rsid w:val="002C6E99"/>
    <w:rsid w:val="003F4926"/>
    <w:rsid w:val="004A2D54"/>
    <w:rsid w:val="0059502D"/>
    <w:rsid w:val="005A4F78"/>
    <w:rsid w:val="006C736C"/>
    <w:rsid w:val="00721A85"/>
    <w:rsid w:val="00722F92"/>
    <w:rsid w:val="0072482F"/>
    <w:rsid w:val="00776BAB"/>
    <w:rsid w:val="007F1AB9"/>
    <w:rsid w:val="00816705"/>
    <w:rsid w:val="00870EA2"/>
    <w:rsid w:val="008912E3"/>
    <w:rsid w:val="009F6856"/>
    <w:rsid w:val="00A47F51"/>
    <w:rsid w:val="00B85644"/>
    <w:rsid w:val="00BF740F"/>
    <w:rsid w:val="00C0333B"/>
    <w:rsid w:val="00C2381F"/>
    <w:rsid w:val="00C41956"/>
    <w:rsid w:val="00D075B9"/>
    <w:rsid w:val="00DD2C96"/>
    <w:rsid w:val="00E23743"/>
    <w:rsid w:val="00E57D28"/>
    <w:rsid w:val="00EA3A7B"/>
    <w:rsid w:val="00EB3BAD"/>
    <w:rsid w:val="00F357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A96AD"/>
  <w15:docId w15:val="{BA5DF8D0-AB35-114D-9862-ACE0E18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BAD"/>
    <w:pPr>
      <w:widowControl w:val="0"/>
      <w:pBdr>
        <w:top w:val="nil"/>
        <w:left w:val="nil"/>
        <w:bottom w:val="nil"/>
        <w:right w:val="nil"/>
        <w:between w:val="nil"/>
      </w:pBdr>
      <w:spacing w:before="171" w:line="279" w:lineRule="auto"/>
      <w:ind w:left="8" w:right="57" w:hanging="1"/>
    </w:pPr>
    <w:rPr>
      <w:rFonts w:ascii="Calibri" w:eastAsia="Calibri" w:hAnsi="Calibri" w:cs="Calibri"/>
      <w:color w:val="000000"/>
    </w:rPr>
  </w:style>
  <w:style w:type="paragraph" w:styleId="Heading1">
    <w:name w:val="heading 1"/>
    <w:basedOn w:val="Normal"/>
    <w:next w:val="Normal"/>
    <w:uiPriority w:val="9"/>
    <w:qFormat/>
    <w:rsid w:val="00EB3BAD"/>
    <w:pPr>
      <w:spacing w:before="462" w:line="240" w:lineRule="auto"/>
      <w:ind w:left="12" w:right="136" w:firstLine="15"/>
      <w:outlineLvl w:val="0"/>
    </w:pPr>
    <w:rPr>
      <w:b/>
      <w:i/>
      <w:sz w:val="28"/>
      <w:szCs w:val="28"/>
    </w:rPr>
  </w:style>
  <w:style w:type="paragraph" w:styleId="Heading2">
    <w:name w:val="heading 2"/>
    <w:basedOn w:val="Normal"/>
    <w:next w:val="Normal"/>
    <w:uiPriority w:val="9"/>
    <w:unhideWhenUsed/>
    <w:qFormat/>
    <w:rsid w:val="00EB3BAD"/>
    <w:pPr>
      <w:spacing w:before="173" w:line="240" w:lineRule="auto"/>
      <w:outlineLvl w:val="1"/>
    </w:pPr>
    <w:rPr>
      <w:b/>
      <w:bCs/>
      <w:iCs/>
      <w:sz w:val="24"/>
      <w:szCs w:val="24"/>
    </w:rPr>
  </w:style>
  <w:style w:type="paragraph" w:styleId="Heading3">
    <w:name w:val="heading 3"/>
    <w:basedOn w:val="Normal"/>
    <w:next w:val="Normal"/>
    <w:uiPriority w:val="9"/>
    <w:unhideWhenUsed/>
    <w:qFormat/>
    <w:rsid w:val="000A5DCB"/>
    <w:pPr>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85644"/>
    <w:pPr>
      <w:spacing w:line="240" w:lineRule="auto"/>
    </w:pPr>
  </w:style>
  <w:style w:type="paragraph" w:styleId="ListParagraph">
    <w:name w:val="List Paragraph"/>
    <w:basedOn w:val="Normal"/>
    <w:uiPriority w:val="34"/>
    <w:qFormat/>
    <w:rsid w:val="00005539"/>
    <w:pPr>
      <w:ind w:left="720"/>
      <w:contextualSpacing/>
    </w:pPr>
  </w:style>
  <w:style w:type="paragraph" w:styleId="Header">
    <w:name w:val="header"/>
    <w:basedOn w:val="Normal"/>
    <w:link w:val="HeaderChar"/>
    <w:uiPriority w:val="99"/>
    <w:unhideWhenUsed/>
    <w:rsid w:val="00C0333B"/>
    <w:pPr>
      <w:tabs>
        <w:tab w:val="center" w:pos="4680"/>
        <w:tab w:val="right" w:pos="9360"/>
      </w:tabs>
      <w:spacing w:line="240" w:lineRule="auto"/>
    </w:pPr>
  </w:style>
  <w:style w:type="character" w:customStyle="1" w:styleId="HeaderChar">
    <w:name w:val="Header Char"/>
    <w:basedOn w:val="DefaultParagraphFont"/>
    <w:link w:val="Header"/>
    <w:uiPriority w:val="99"/>
    <w:rsid w:val="00C0333B"/>
  </w:style>
  <w:style w:type="character" w:styleId="PageNumber">
    <w:name w:val="page number"/>
    <w:basedOn w:val="DefaultParagraphFont"/>
    <w:uiPriority w:val="99"/>
    <w:semiHidden/>
    <w:unhideWhenUsed/>
    <w:rsid w:val="00C0333B"/>
  </w:style>
  <w:style w:type="paragraph" w:styleId="TOCHeading">
    <w:name w:val="TOC Heading"/>
    <w:basedOn w:val="Heading1"/>
    <w:next w:val="Normal"/>
    <w:uiPriority w:val="39"/>
    <w:unhideWhenUsed/>
    <w:qFormat/>
    <w:rsid w:val="002B55ED"/>
    <w:pPr>
      <w:keepNext/>
      <w:keepLines/>
      <w:widowControl/>
      <w:pBdr>
        <w:top w:val="none" w:sz="0" w:space="0" w:color="auto"/>
        <w:left w:val="none" w:sz="0" w:space="0" w:color="auto"/>
        <w:bottom w:val="none" w:sz="0" w:space="0" w:color="auto"/>
        <w:right w:val="none" w:sz="0" w:space="0" w:color="auto"/>
        <w:between w:val="none" w:sz="0" w:space="0" w:color="auto"/>
      </w:pBdr>
      <w:spacing w:before="480" w:line="276" w:lineRule="auto"/>
      <w:ind w:left="0" w:right="0" w:firstLine="0"/>
      <w:outlineLvl w:val="9"/>
    </w:pPr>
    <w:rPr>
      <w:rFonts w:asciiTheme="majorHAnsi" w:eastAsiaTheme="majorEastAsia" w:hAnsiTheme="majorHAnsi" w:cstheme="majorBidi"/>
      <w:bCs/>
      <w:i w:val="0"/>
      <w:color w:val="365F91" w:themeColor="accent1" w:themeShade="BF"/>
      <w:lang w:bidi="ar-SA"/>
    </w:rPr>
  </w:style>
  <w:style w:type="paragraph" w:styleId="TOC1">
    <w:name w:val="toc 1"/>
    <w:basedOn w:val="Normal"/>
    <w:next w:val="Normal"/>
    <w:autoRedefine/>
    <w:uiPriority w:val="39"/>
    <w:unhideWhenUsed/>
    <w:rsid w:val="002B55ED"/>
    <w:pPr>
      <w:spacing w:before="120"/>
      <w:ind w:left="0"/>
    </w:pPr>
    <w:rPr>
      <w:rFonts w:asciiTheme="minorHAnsi" w:hAnsiTheme="minorHAnsi" w:cs="Times New Roman"/>
      <w:b/>
      <w:bCs/>
      <w:i/>
      <w:iCs/>
      <w:sz w:val="24"/>
      <w:szCs w:val="24"/>
    </w:rPr>
  </w:style>
  <w:style w:type="paragraph" w:styleId="TOC2">
    <w:name w:val="toc 2"/>
    <w:basedOn w:val="Normal"/>
    <w:next w:val="Normal"/>
    <w:autoRedefine/>
    <w:uiPriority w:val="39"/>
    <w:unhideWhenUsed/>
    <w:rsid w:val="002B55ED"/>
    <w:pPr>
      <w:spacing w:before="120"/>
      <w:ind w:left="220"/>
    </w:pPr>
    <w:rPr>
      <w:rFonts w:asciiTheme="minorHAnsi" w:hAnsiTheme="minorHAnsi" w:cs="Times New Roman"/>
      <w:b/>
      <w:bCs/>
    </w:rPr>
  </w:style>
  <w:style w:type="paragraph" w:styleId="TOC3">
    <w:name w:val="toc 3"/>
    <w:basedOn w:val="Normal"/>
    <w:next w:val="Normal"/>
    <w:autoRedefine/>
    <w:uiPriority w:val="39"/>
    <w:unhideWhenUsed/>
    <w:rsid w:val="002B55ED"/>
    <w:pPr>
      <w:spacing w:before="0"/>
      <w:ind w:left="440"/>
    </w:pPr>
    <w:rPr>
      <w:rFonts w:asciiTheme="minorHAnsi" w:hAnsiTheme="minorHAnsi" w:cs="Times New Roman"/>
      <w:sz w:val="20"/>
      <w:szCs w:val="20"/>
    </w:rPr>
  </w:style>
  <w:style w:type="character" w:styleId="Hyperlink">
    <w:name w:val="Hyperlink"/>
    <w:basedOn w:val="DefaultParagraphFont"/>
    <w:uiPriority w:val="99"/>
    <w:unhideWhenUsed/>
    <w:rsid w:val="002B55ED"/>
    <w:rPr>
      <w:color w:val="0000FF" w:themeColor="hyperlink"/>
      <w:u w:val="single"/>
    </w:rPr>
  </w:style>
  <w:style w:type="paragraph" w:styleId="TOC4">
    <w:name w:val="toc 4"/>
    <w:basedOn w:val="Normal"/>
    <w:next w:val="Normal"/>
    <w:autoRedefine/>
    <w:uiPriority w:val="39"/>
    <w:semiHidden/>
    <w:unhideWhenUsed/>
    <w:rsid w:val="002B55ED"/>
    <w:pPr>
      <w:spacing w:before="0"/>
      <w:ind w:left="660"/>
    </w:pPr>
    <w:rPr>
      <w:rFonts w:asciiTheme="minorHAnsi" w:hAnsiTheme="minorHAnsi" w:cs="Times New Roman"/>
      <w:sz w:val="20"/>
      <w:szCs w:val="20"/>
    </w:rPr>
  </w:style>
  <w:style w:type="paragraph" w:styleId="TOC5">
    <w:name w:val="toc 5"/>
    <w:basedOn w:val="Normal"/>
    <w:next w:val="Normal"/>
    <w:autoRedefine/>
    <w:uiPriority w:val="39"/>
    <w:semiHidden/>
    <w:unhideWhenUsed/>
    <w:rsid w:val="002B55ED"/>
    <w:pPr>
      <w:spacing w:before="0"/>
      <w:ind w:left="880"/>
    </w:pPr>
    <w:rPr>
      <w:rFonts w:asciiTheme="minorHAnsi" w:hAnsiTheme="minorHAnsi" w:cs="Times New Roman"/>
      <w:sz w:val="20"/>
      <w:szCs w:val="20"/>
    </w:rPr>
  </w:style>
  <w:style w:type="paragraph" w:styleId="TOC6">
    <w:name w:val="toc 6"/>
    <w:basedOn w:val="Normal"/>
    <w:next w:val="Normal"/>
    <w:autoRedefine/>
    <w:uiPriority w:val="39"/>
    <w:semiHidden/>
    <w:unhideWhenUsed/>
    <w:rsid w:val="002B55ED"/>
    <w:pPr>
      <w:spacing w:before="0"/>
      <w:ind w:left="1100"/>
    </w:pPr>
    <w:rPr>
      <w:rFonts w:asciiTheme="minorHAnsi" w:hAnsiTheme="minorHAnsi" w:cs="Times New Roman"/>
      <w:sz w:val="20"/>
      <w:szCs w:val="20"/>
    </w:rPr>
  </w:style>
  <w:style w:type="paragraph" w:styleId="TOC7">
    <w:name w:val="toc 7"/>
    <w:basedOn w:val="Normal"/>
    <w:next w:val="Normal"/>
    <w:autoRedefine/>
    <w:uiPriority w:val="39"/>
    <w:semiHidden/>
    <w:unhideWhenUsed/>
    <w:rsid w:val="002B55ED"/>
    <w:pPr>
      <w:spacing w:before="0"/>
      <w:ind w:left="1320"/>
    </w:pPr>
    <w:rPr>
      <w:rFonts w:asciiTheme="minorHAnsi" w:hAnsiTheme="minorHAnsi" w:cs="Times New Roman"/>
      <w:sz w:val="20"/>
      <w:szCs w:val="20"/>
    </w:rPr>
  </w:style>
  <w:style w:type="paragraph" w:styleId="TOC8">
    <w:name w:val="toc 8"/>
    <w:basedOn w:val="Normal"/>
    <w:next w:val="Normal"/>
    <w:autoRedefine/>
    <w:uiPriority w:val="39"/>
    <w:semiHidden/>
    <w:unhideWhenUsed/>
    <w:rsid w:val="002B55ED"/>
    <w:pPr>
      <w:spacing w:before="0"/>
      <w:ind w:left="1540"/>
    </w:pPr>
    <w:rPr>
      <w:rFonts w:asciiTheme="minorHAnsi" w:hAnsiTheme="minorHAnsi" w:cs="Times New Roman"/>
      <w:sz w:val="20"/>
      <w:szCs w:val="20"/>
    </w:rPr>
  </w:style>
  <w:style w:type="paragraph" w:styleId="TOC9">
    <w:name w:val="toc 9"/>
    <w:basedOn w:val="Normal"/>
    <w:next w:val="Normal"/>
    <w:autoRedefine/>
    <w:uiPriority w:val="39"/>
    <w:semiHidden/>
    <w:unhideWhenUsed/>
    <w:rsid w:val="002B55ED"/>
    <w:pPr>
      <w:spacing w:before="0"/>
      <w:ind w:left="1760"/>
    </w:pPr>
    <w:rPr>
      <w:rFonts w:asciiTheme="minorHAnsi" w:hAnsiTheme="minorHAnsi" w:cs="Times New Roman"/>
      <w:sz w:val="20"/>
      <w:szCs w:val="20"/>
    </w:rPr>
  </w:style>
  <w:style w:type="table" w:styleId="TableGrid">
    <w:name w:val="Table Grid"/>
    <w:basedOn w:val="TableNormal"/>
    <w:uiPriority w:val="59"/>
    <w:rsid w:val="009F6856"/>
    <w:pPr>
      <w:spacing w:line="240" w:lineRule="auto"/>
    </w:pPr>
    <w:rPr>
      <w:rFonts w:asciiTheme="minorHAnsi" w:eastAsia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685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F685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210C-A018-457A-A44A-73CEC941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4674</Words>
  <Characters>26722</Characters>
  <Application>Microsoft Office Word</Application>
  <DocSecurity>0</DocSecurity>
  <Lines>415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Schulte</cp:lastModifiedBy>
  <cp:revision>15</cp:revision>
  <dcterms:created xsi:type="dcterms:W3CDTF">2024-04-12T21:35:00Z</dcterms:created>
  <dcterms:modified xsi:type="dcterms:W3CDTF">2024-05-20T23:52:00Z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4f521e81b94c4663f0e844f81921da1f88c77569b2730745be40d984bd151f4e</vt:lpwstr>
  </property>
</Properties>
</file>